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IX PIELIKUMS</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NORĀDES PĀRSKATU SNIEGŠANAI PAR LIELAJIEM RISKA DARĪJUMIEM UN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KONCENTRĀCIJAS RISKS</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Satura rādītājs</w:t>
      </w:r>
    </w:p>
    <w:p w14:paraId="287BF640" w14:textId="7D5A0D4B" w:rsidR="00327F4C" w:rsidRDefault="00621F98">
      <w:pPr>
        <w:pStyle w:val="TOC2"/>
        <w:rPr>
          <w:rFonts w:asciiTheme="minorHAnsi" w:eastAsiaTheme="minorEastAsia" w:hAnsiTheme="minorHAnsi" w:cstheme="minorBidi"/>
          <w:b w:val="0"/>
          <w:smallCaps w:val="0"/>
          <w:kern w:val="2"/>
          <w:sz w:val="24"/>
          <w:szCs w:val="24"/>
          <w:lang w:val="en-IE" w:eastAsia="en-IE"/>
          <w14:ligatures w14:val="standardContextual"/>
        </w:rPr>
      </w:pPr>
      <w:r w:rsidRPr="00384ADB">
        <w:rPr>
          <w:rFonts w:ascii="Times New Roman" w:hAnsi="Times New Roman"/>
          <w:sz w:val="24"/>
        </w:rPr>
        <w:fldChar w:fldCharType="begin"/>
      </w:r>
      <w:r w:rsidR="003105C6" w:rsidRPr="00384ADB">
        <w:rPr>
          <w:rFonts w:ascii="Times New Roman" w:hAnsi="Times New Roman"/>
          <w:sz w:val="24"/>
        </w:rPr>
        <w:instrText xml:space="preserve"> TOC \o "1-3" \h \z \u </w:instrText>
      </w:r>
      <w:r w:rsidRPr="00384ADB">
        <w:rPr>
          <w:rFonts w:ascii="Times New Roman" w:hAnsi="Times New Roman"/>
          <w:sz w:val="24"/>
        </w:rPr>
        <w:fldChar w:fldCharType="separate"/>
      </w:r>
      <w:hyperlink w:anchor="_Toc188522784" w:history="1">
        <w:r w:rsidR="00327F4C" w:rsidRPr="00BC5D45">
          <w:rPr>
            <w:rStyle w:val="Hyperlink"/>
            <w:rFonts w:ascii="Times New Roman" w:hAnsi="Times New Roman"/>
          </w:rPr>
          <w:t>I DAĻA. VISPĀRĪGI NORĀDĪJUMI</w:t>
        </w:r>
        <w:r w:rsidR="00327F4C">
          <w:rPr>
            <w:webHidden/>
          </w:rPr>
          <w:tab/>
        </w:r>
        <w:r w:rsidR="00327F4C">
          <w:rPr>
            <w:webHidden/>
          </w:rPr>
          <w:fldChar w:fldCharType="begin"/>
        </w:r>
        <w:r w:rsidR="00327F4C">
          <w:rPr>
            <w:webHidden/>
          </w:rPr>
          <w:instrText xml:space="preserve"> PAGEREF _Toc188522784 \h </w:instrText>
        </w:r>
        <w:r w:rsidR="00327F4C">
          <w:rPr>
            <w:webHidden/>
          </w:rPr>
        </w:r>
        <w:r w:rsidR="00327F4C">
          <w:rPr>
            <w:webHidden/>
          </w:rPr>
          <w:fldChar w:fldCharType="separate"/>
        </w:r>
        <w:r w:rsidR="00327F4C">
          <w:rPr>
            <w:webHidden/>
          </w:rPr>
          <w:t>2</w:t>
        </w:r>
        <w:r w:rsidR="00327F4C">
          <w:rPr>
            <w:webHidden/>
          </w:rPr>
          <w:fldChar w:fldCharType="end"/>
        </w:r>
      </w:hyperlink>
    </w:p>
    <w:p w14:paraId="36A2AD99" w14:textId="77B700FE"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85" w:history="1">
        <w:r w:rsidR="00327F4C" w:rsidRPr="00BC5D45">
          <w:rPr>
            <w:rStyle w:val="Hyperlink"/>
            <w:rFonts w:ascii="Times New Roman" w:hAnsi="Times New Roman"/>
          </w:rPr>
          <w:t>1.</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Struktūra un pieņemtā prakse</w:t>
        </w:r>
        <w:r w:rsidR="00327F4C">
          <w:rPr>
            <w:webHidden/>
          </w:rPr>
          <w:tab/>
        </w:r>
        <w:r w:rsidR="00327F4C">
          <w:rPr>
            <w:webHidden/>
          </w:rPr>
          <w:fldChar w:fldCharType="begin"/>
        </w:r>
        <w:r w:rsidR="00327F4C">
          <w:rPr>
            <w:webHidden/>
          </w:rPr>
          <w:instrText xml:space="preserve"> PAGEREF _Toc188522785 \h </w:instrText>
        </w:r>
        <w:r w:rsidR="00327F4C">
          <w:rPr>
            <w:webHidden/>
          </w:rPr>
        </w:r>
        <w:r w:rsidR="00327F4C">
          <w:rPr>
            <w:webHidden/>
          </w:rPr>
          <w:fldChar w:fldCharType="separate"/>
        </w:r>
        <w:r w:rsidR="00327F4C">
          <w:rPr>
            <w:webHidden/>
          </w:rPr>
          <w:t>2</w:t>
        </w:r>
        <w:r w:rsidR="00327F4C">
          <w:rPr>
            <w:webHidden/>
          </w:rPr>
          <w:fldChar w:fldCharType="end"/>
        </w:r>
      </w:hyperlink>
    </w:p>
    <w:p w14:paraId="19EA90D7" w14:textId="1F57AE2B"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86" w:history="1">
        <w:r w:rsidR="00327F4C" w:rsidRPr="00BC5D45">
          <w:rPr>
            <w:rStyle w:val="Hyperlink"/>
          </w:rPr>
          <w:t>2.</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Saīsinājumi</w:t>
        </w:r>
        <w:r w:rsidR="00327F4C">
          <w:rPr>
            <w:webHidden/>
          </w:rPr>
          <w:tab/>
        </w:r>
        <w:r w:rsidR="00327F4C">
          <w:rPr>
            <w:webHidden/>
          </w:rPr>
          <w:fldChar w:fldCharType="begin"/>
        </w:r>
        <w:r w:rsidR="00327F4C">
          <w:rPr>
            <w:webHidden/>
          </w:rPr>
          <w:instrText xml:space="preserve"> PAGEREF _Toc188522786 \h </w:instrText>
        </w:r>
        <w:r w:rsidR="00327F4C">
          <w:rPr>
            <w:webHidden/>
          </w:rPr>
        </w:r>
        <w:r w:rsidR="00327F4C">
          <w:rPr>
            <w:webHidden/>
          </w:rPr>
          <w:fldChar w:fldCharType="separate"/>
        </w:r>
        <w:r w:rsidR="00327F4C">
          <w:rPr>
            <w:webHidden/>
          </w:rPr>
          <w:t>2</w:t>
        </w:r>
        <w:r w:rsidR="00327F4C">
          <w:rPr>
            <w:webHidden/>
          </w:rPr>
          <w:fldChar w:fldCharType="end"/>
        </w:r>
      </w:hyperlink>
    </w:p>
    <w:p w14:paraId="56C33BCE" w14:textId="1883290C"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87" w:history="1">
        <w:r w:rsidR="00327F4C" w:rsidRPr="00BC5D45">
          <w:rPr>
            <w:rStyle w:val="Hyperlink"/>
            <w:rFonts w:ascii="Times New Roman" w:hAnsi="Times New Roman"/>
          </w:rPr>
          <w:t>II DAĻA. NORĀDĪJUMI SAISTĪBĀ AR VEIDNI</w:t>
        </w:r>
        <w:r w:rsidR="00327F4C">
          <w:rPr>
            <w:webHidden/>
          </w:rPr>
          <w:tab/>
        </w:r>
        <w:r w:rsidR="00327F4C">
          <w:rPr>
            <w:webHidden/>
          </w:rPr>
          <w:fldChar w:fldCharType="begin"/>
        </w:r>
        <w:r w:rsidR="00327F4C">
          <w:rPr>
            <w:webHidden/>
          </w:rPr>
          <w:instrText xml:space="preserve"> PAGEREF _Toc188522787 \h </w:instrText>
        </w:r>
        <w:r w:rsidR="00327F4C">
          <w:rPr>
            <w:webHidden/>
          </w:rPr>
        </w:r>
        <w:r w:rsidR="00327F4C">
          <w:rPr>
            <w:webHidden/>
          </w:rPr>
          <w:fldChar w:fldCharType="separate"/>
        </w:r>
        <w:r w:rsidR="00327F4C">
          <w:rPr>
            <w:webHidden/>
          </w:rPr>
          <w:t>3</w:t>
        </w:r>
        <w:r w:rsidR="00327F4C">
          <w:rPr>
            <w:webHidden/>
          </w:rPr>
          <w:fldChar w:fldCharType="end"/>
        </w:r>
      </w:hyperlink>
    </w:p>
    <w:p w14:paraId="1ADA346A" w14:textId="55CD28EE"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88" w:history="1">
        <w:r w:rsidR="00327F4C" w:rsidRPr="00BC5D45">
          <w:rPr>
            <w:rStyle w:val="Hyperlink"/>
            <w:rFonts w:ascii="Times New Roman" w:hAnsi="Times New Roman"/>
          </w:rPr>
          <w:t>1.</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Lielo riska darījumu pārskatu sniegšanas tvērums un līmenis</w:t>
        </w:r>
        <w:r w:rsidR="00327F4C">
          <w:rPr>
            <w:webHidden/>
          </w:rPr>
          <w:tab/>
        </w:r>
        <w:r w:rsidR="00327F4C">
          <w:rPr>
            <w:webHidden/>
          </w:rPr>
          <w:fldChar w:fldCharType="begin"/>
        </w:r>
        <w:r w:rsidR="00327F4C">
          <w:rPr>
            <w:webHidden/>
          </w:rPr>
          <w:instrText xml:space="preserve"> PAGEREF _Toc188522788 \h </w:instrText>
        </w:r>
        <w:r w:rsidR="00327F4C">
          <w:rPr>
            <w:webHidden/>
          </w:rPr>
        </w:r>
        <w:r w:rsidR="00327F4C">
          <w:rPr>
            <w:webHidden/>
          </w:rPr>
          <w:fldChar w:fldCharType="separate"/>
        </w:r>
        <w:r w:rsidR="00327F4C">
          <w:rPr>
            <w:webHidden/>
          </w:rPr>
          <w:t>3</w:t>
        </w:r>
        <w:r w:rsidR="00327F4C">
          <w:rPr>
            <w:webHidden/>
          </w:rPr>
          <w:fldChar w:fldCharType="end"/>
        </w:r>
      </w:hyperlink>
    </w:p>
    <w:p w14:paraId="40199389" w14:textId="236D2B71"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89" w:history="1">
        <w:r w:rsidR="00327F4C" w:rsidRPr="00BC5D45">
          <w:rPr>
            <w:rStyle w:val="Hyperlink"/>
            <w:rFonts w:ascii="Times New Roman" w:hAnsi="Times New Roman"/>
          </w:rPr>
          <w:t>2.</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Lielo riska darījumu (LE) veidnes struktūra</w:t>
        </w:r>
        <w:r w:rsidR="00327F4C">
          <w:rPr>
            <w:webHidden/>
          </w:rPr>
          <w:tab/>
        </w:r>
        <w:r w:rsidR="00327F4C">
          <w:rPr>
            <w:webHidden/>
          </w:rPr>
          <w:fldChar w:fldCharType="begin"/>
        </w:r>
        <w:r w:rsidR="00327F4C">
          <w:rPr>
            <w:webHidden/>
          </w:rPr>
          <w:instrText xml:space="preserve"> PAGEREF _Toc188522789 \h </w:instrText>
        </w:r>
        <w:r w:rsidR="00327F4C">
          <w:rPr>
            <w:webHidden/>
          </w:rPr>
        </w:r>
        <w:r w:rsidR="00327F4C">
          <w:rPr>
            <w:webHidden/>
          </w:rPr>
          <w:fldChar w:fldCharType="separate"/>
        </w:r>
        <w:r w:rsidR="00327F4C">
          <w:rPr>
            <w:webHidden/>
          </w:rPr>
          <w:t>4</w:t>
        </w:r>
        <w:r w:rsidR="00327F4C">
          <w:rPr>
            <w:webHidden/>
          </w:rPr>
          <w:fldChar w:fldCharType="end"/>
        </w:r>
      </w:hyperlink>
    </w:p>
    <w:p w14:paraId="303DBE1F" w14:textId="1B56E760"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90" w:history="1">
        <w:r w:rsidR="00327F4C" w:rsidRPr="00BC5D45">
          <w:rPr>
            <w:rStyle w:val="Hyperlink"/>
            <w:rFonts w:ascii="Times New Roman" w:eastAsia="Arial" w:hAnsi="Times New Roman"/>
          </w:rPr>
          <w:t>3.</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Definīcijas un vispārīgas norādes, kas piemērojamas pārskatu sniegšanai par lielajiem riska darījumiem</w:t>
        </w:r>
        <w:r w:rsidR="00327F4C">
          <w:rPr>
            <w:webHidden/>
          </w:rPr>
          <w:tab/>
        </w:r>
        <w:r w:rsidR="00327F4C">
          <w:rPr>
            <w:webHidden/>
          </w:rPr>
          <w:fldChar w:fldCharType="begin"/>
        </w:r>
        <w:r w:rsidR="00327F4C">
          <w:rPr>
            <w:webHidden/>
          </w:rPr>
          <w:instrText xml:space="preserve"> PAGEREF _Toc188522790 \h </w:instrText>
        </w:r>
        <w:r w:rsidR="00327F4C">
          <w:rPr>
            <w:webHidden/>
          </w:rPr>
        </w:r>
        <w:r w:rsidR="00327F4C">
          <w:rPr>
            <w:webHidden/>
          </w:rPr>
          <w:fldChar w:fldCharType="separate"/>
        </w:r>
        <w:r w:rsidR="00327F4C">
          <w:rPr>
            <w:webHidden/>
          </w:rPr>
          <w:t>4</w:t>
        </w:r>
        <w:r w:rsidR="00327F4C">
          <w:rPr>
            <w:webHidden/>
          </w:rPr>
          <w:fldChar w:fldCharType="end"/>
        </w:r>
      </w:hyperlink>
    </w:p>
    <w:p w14:paraId="4BB36C73" w14:textId="064A2012"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91" w:history="1">
        <w:r w:rsidR="00327F4C" w:rsidRPr="00BC5D45">
          <w:rPr>
            <w:rStyle w:val="Hyperlink"/>
            <w:rFonts w:ascii="Times New Roman" w:hAnsi="Times New Roman"/>
          </w:rPr>
          <w:t>4.</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C 26.00 - lielo riska darījumu limitu veidne</w:t>
        </w:r>
        <w:r w:rsidR="00327F4C">
          <w:rPr>
            <w:webHidden/>
          </w:rPr>
          <w:tab/>
        </w:r>
        <w:r w:rsidR="00327F4C">
          <w:rPr>
            <w:webHidden/>
          </w:rPr>
          <w:fldChar w:fldCharType="begin"/>
        </w:r>
        <w:r w:rsidR="00327F4C">
          <w:rPr>
            <w:webHidden/>
          </w:rPr>
          <w:instrText xml:space="preserve"> PAGEREF _Toc188522791 \h </w:instrText>
        </w:r>
        <w:r w:rsidR="00327F4C">
          <w:rPr>
            <w:webHidden/>
          </w:rPr>
        </w:r>
        <w:r w:rsidR="00327F4C">
          <w:rPr>
            <w:webHidden/>
          </w:rPr>
          <w:fldChar w:fldCharType="separate"/>
        </w:r>
        <w:r w:rsidR="00327F4C">
          <w:rPr>
            <w:webHidden/>
          </w:rPr>
          <w:t>5</w:t>
        </w:r>
        <w:r w:rsidR="00327F4C">
          <w:rPr>
            <w:webHidden/>
          </w:rPr>
          <w:fldChar w:fldCharType="end"/>
        </w:r>
      </w:hyperlink>
    </w:p>
    <w:p w14:paraId="3D5452AA" w14:textId="0AC455F4"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92" w:history="1">
        <w:r w:rsidR="00327F4C" w:rsidRPr="00BC5D45">
          <w:rPr>
            <w:rStyle w:val="Hyperlink"/>
            <w:rFonts w:ascii="Times New Roman" w:hAnsi="Times New Roman"/>
          </w:rPr>
          <w:t>4.1.</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Norādes par konkrētām rindām</w:t>
        </w:r>
        <w:r w:rsidR="00327F4C">
          <w:rPr>
            <w:webHidden/>
          </w:rPr>
          <w:tab/>
        </w:r>
        <w:r w:rsidR="00327F4C">
          <w:rPr>
            <w:webHidden/>
          </w:rPr>
          <w:fldChar w:fldCharType="begin"/>
        </w:r>
        <w:r w:rsidR="00327F4C">
          <w:rPr>
            <w:webHidden/>
          </w:rPr>
          <w:instrText xml:space="preserve"> PAGEREF _Toc188522792 \h </w:instrText>
        </w:r>
        <w:r w:rsidR="00327F4C">
          <w:rPr>
            <w:webHidden/>
          </w:rPr>
        </w:r>
        <w:r w:rsidR="00327F4C">
          <w:rPr>
            <w:webHidden/>
          </w:rPr>
          <w:fldChar w:fldCharType="separate"/>
        </w:r>
        <w:r w:rsidR="00327F4C">
          <w:rPr>
            <w:webHidden/>
          </w:rPr>
          <w:t>5</w:t>
        </w:r>
        <w:r w:rsidR="00327F4C">
          <w:rPr>
            <w:webHidden/>
          </w:rPr>
          <w:fldChar w:fldCharType="end"/>
        </w:r>
      </w:hyperlink>
    </w:p>
    <w:p w14:paraId="66F42A42" w14:textId="5D1C0E13"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93" w:history="1">
        <w:r w:rsidR="00327F4C" w:rsidRPr="00BC5D45">
          <w:rPr>
            <w:rStyle w:val="Hyperlink"/>
            <w:rFonts w:ascii="Times New Roman" w:hAnsi="Times New Roman"/>
          </w:rPr>
          <w:t>5.</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C 27.00 - darījuma partnera identifikācija (LE1)</w:t>
        </w:r>
        <w:r w:rsidR="00327F4C">
          <w:rPr>
            <w:webHidden/>
          </w:rPr>
          <w:tab/>
        </w:r>
        <w:r w:rsidR="00327F4C">
          <w:rPr>
            <w:webHidden/>
          </w:rPr>
          <w:fldChar w:fldCharType="begin"/>
        </w:r>
        <w:r w:rsidR="00327F4C">
          <w:rPr>
            <w:webHidden/>
          </w:rPr>
          <w:instrText xml:space="preserve"> PAGEREF _Toc188522793 \h </w:instrText>
        </w:r>
        <w:r w:rsidR="00327F4C">
          <w:rPr>
            <w:webHidden/>
          </w:rPr>
        </w:r>
        <w:r w:rsidR="00327F4C">
          <w:rPr>
            <w:webHidden/>
          </w:rPr>
          <w:fldChar w:fldCharType="separate"/>
        </w:r>
        <w:r w:rsidR="00327F4C">
          <w:rPr>
            <w:webHidden/>
          </w:rPr>
          <w:t>6</w:t>
        </w:r>
        <w:r w:rsidR="00327F4C">
          <w:rPr>
            <w:webHidden/>
          </w:rPr>
          <w:fldChar w:fldCharType="end"/>
        </w:r>
      </w:hyperlink>
    </w:p>
    <w:p w14:paraId="40061266" w14:textId="6C529C37"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94" w:history="1">
        <w:r w:rsidR="00327F4C" w:rsidRPr="00BC5D45">
          <w:rPr>
            <w:rStyle w:val="Hyperlink"/>
            <w:rFonts w:ascii="Times New Roman" w:hAnsi="Times New Roman"/>
          </w:rPr>
          <w:t>5.1.</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Norādes par konkrētām slejām</w:t>
        </w:r>
        <w:r w:rsidR="00327F4C">
          <w:rPr>
            <w:webHidden/>
          </w:rPr>
          <w:tab/>
        </w:r>
        <w:r w:rsidR="00327F4C">
          <w:rPr>
            <w:webHidden/>
          </w:rPr>
          <w:fldChar w:fldCharType="begin"/>
        </w:r>
        <w:r w:rsidR="00327F4C">
          <w:rPr>
            <w:webHidden/>
          </w:rPr>
          <w:instrText xml:space="preserve"> PAGEREF _Toc188522794 \h </w:instrText>
        </w:r>
        <w:r w:rsidR="00327F4C">
          <w:rPr>
            <w:webHidden/>
          </w:rPr>
        </w:r>
        <w:r w:rsidR="00327F4C">
          <w:rPr>
            <w:webHidden/>
          </w:rPr>
          <w:fldChar w:fldCharType="separate"/>
        </w:r>
        <w:r w:rsidR="00327F4C">
          <w:rPr>
            <w:webHidden/>
          </w:rPr>
          <w:t>6</w:t>
        </w:r>
        <w:r w:rsidR="00327F4C">
          <w:rPr>
            <w:webHidden/>
          </w:rPr>
          <w:fldChar w:fldCharType="end"/>
        </w:r>
      </w:hyperlink>
    </w:p>
    <w:p w14:paraId="43FCA686" w14:textId="7D840E3F"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95" w:history="1">
        <w:r w:rsidR="00327F4C" w:rsidRPr="00BC5D45">
          <w:rPr>
            <w:rStyle w:val="Hyperlink"/>
            <w:rFonts w:ascii="Times New Roman" w:hAnsi="Times New Roman"/>
          </w:rPr>
          <w:t>6.</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C 28.00 - riska darījumi netirdzniecības portfelī un tirdzniecības portfelī (LE2)</w:t>
        </w:r>
        <w:r w:rsidR="00327F4C">
          <w:rPr>
            <w:webHidden/>
          </w:rPr>
          <w:tab/>
        </w:r>
        <w:r w:rsidR="00327F4C">
          <w:rPr>
            <w:webHidden/>
          </w:rPr>
          <w:fldChar w:fldCharType="begin"/>
        </w:r>
        <w:r w:rsidR="00327F4C">
          <w:rPr>
            <w:webHidden/>
          </w:rPr>
          <w:instrText xml:space="preserve"> PAGEREF _Toc188522795 \h </w:instrText>
        </w:r>
        <w:r w:rsidR="00327F4C">
          <w:rPr>
            <w:webHidden/>
          </w:rPr>
        </w:r>
        <w:r w:rsidR="00327F4C">
          <w:rPr>
            <w:webHidden/>
          </w:rPr>
          <w:fldChar w:fldCharType="separate"/>
        </w:r>
        <w:r w:rsidR="00327F4C">
          <w:rPr>
            <w:webHidden/>
          </w:rPr>
          <w:t>9</w:t>
        </w:r>
        <w:r w:rsidR="00327F4C">
          <w:rPr>
            <w:webHidden/>
          </w:rPr>
          <w:fldChar w:fldCharType="end"/>
        </w:r>
      </w:hyperlink>
    </w:p>
    <w:p w14:paraId="4E8D49DB" w14:textId="5D2B9273"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96" w:history="1">
        <w:r w:rsidR="00327F4C" w:rsidRPr="00BC5D45">
          <w:rPr>
            <w:rStyle w:val="Hyperlink"/>
            <w:rFonts w:ascii="Times New Roman" w:hAnsi="Times New Roman"/>
          </w:rPr>
          <w:t>6.1.</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Norādes par konkrētām slejām</w:t>
        </w:r>
        <w:r w:rsidR="00327F4C">
          <w:rPr>
            <w:webHidden/>
          </w:rPr>
          <w:tab/>
        </w:r>
        <w:r w:rsidR="00327F4C">
          <w:rPr>
            <w:webHidden/>
          </w:rPr>
          <w:fldChar w:fldCharType="begin"/>
        </w:r>
        <w:r w:rsidR="00327F4C">
          <w:rPr>
            <w:webHidden/>
          </w:rPr>
          <w:instrText xml:space="preserve"> PAGEREF _Toc188522796 \h </w:instrText>
        </w:r>
        <w:r w:rsidR="00327F4C">
          <w:rPr>
            <w:webHidden/>
          </w:rPr>
        </w:r>
        <w:r w:rsidR="00327F4C">
          <w:rPr>
            <w:webHidden/>
          </w:rPr>
          <w:fldChar w:fldCharType="separate"/>
        </w:r>
        <w:r w:rsidR="00327F4C">
          <w:rPr>
            <w:webHidden/>
          </w:rPr>
          <w:t>9</w:t>
        </w:r>
        <w:r w:rsidR="00327F4C">
          <w:rPr>
            <w:webHidden/>
          </w:rPr>
          <w:fldChar w:fldCharType="end"/>
        </w:r>
      </w:hyperlink>
    </w:p>
    <w:p w14:paraId="1D5734F8" w14:textId="7BA00156"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97" w:history="1">
        <w:r w:rsidR="00327F4C" w:rsidRPr="00BC5D45">
          <w:rPr>
            <w:rStyle w:val="Hyperlink"/>
            <w:rFonts w:ascii="Times New Roman" w:hAnsi="Times New Roman"/>
          </w:rPr>
          <w:t>7.</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C 29.00 - Informācija par riska darījumiem ar atsevišķiem klientiem savstarpēji saistītu klientu grupās (LE3)</w:t>
        </w:r>
        <w:r w:rsidR="00327F4C">
          <w:rPr>
            <w:webHidden/>
          </w:rPr>
          <w:tab/>
        </w:r>
        <w:r w:rsidR="00327F4C">
          <w:rPr>
            <w:webHidden/>
          </w:rPr>
          <w:fldChar w:fldCharType="begin"/>
        </w:r>
        <w:r w:rsidR="00327F4C">
          <w:rPr>
            <w:webHidden/>
          </w:rPr>
          <w:instrText xml:space="preserve"> PAGEREF _Toc188522797 \h </w:instrText>
        </w:r>
        <w:r w:rsidR="00327F4C">
          <w:rPr>
            <w:webHidden/>
          </w:rPr>
        </w:r>
        <w:r w:rsidR="00327F4C">
          <w:rPr>
            <w:webHidden/>
          </w:rPr>
          <w:fldChar w:fldCharType="separate"/>
        </w:r>
        <w:r w:rsidR="00327F4C">
          <w:rPr>
            <w:webHidden/>
          </w:rPr>
          <w:t>18</w:t>
        </w:r>
        <w:r w:rsidR="00327F4C">
          <w:rPr>
            <w:webHidden/>
          </w:rPr>
          <w:fldChar w:fldCharType="end"/>
        </w:r>
      </w:hyperlink>
    </w:p>
    <w:p w14:paraId="3597E2D7" w14:textId="463172FD" w:rsidR="00327F4C" w:rsidRDefault="0081153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798" w:history="1">
        <w:r w:rsidR="00327F4C" w:rsidRPr="00BC5D45">
          <w:rPr>
            <w:rStyle w:val="Hyperlink"/>
            <w:rFonts w:ascii="Times New Roman" w:hAnsi="Times New Roman"/>
          </w:rPr>
          <w:t>7.1.</w:t>
        </w:r>
        <w:r w:rsidR="00327F4C">
          <w:rPr>
            <w:rFonts w:asciiTheme="minorHAnsi" w:eastAsiaTheme="minorEastAsia" w:hAnsiTheme="minorHAnsi" w:cstheme="minorBidi"/>
            <w:b w:val="0"/>
            <w:smallCaps w:val="0"/>
            <w:kern w:val="2"/>
            <w:sz w:val="24"/>
            <w:szCs w:val="24"/>
            <w:lang w:val="en-IE" w:eastAsia="en-IE"/>
            <w14:ligatures w14:val="standardContextual"/>
          </w:rPr>
          <w:tab/>
        </w:r>
        <w:r w:rsidR="00327F4C" w:rsidRPr="00BC5D45">
          <w:rPr>
            <w:rStyle w:val="Hyperlink"/>
            <w:rFonts w:ascii="Times New Roman" w:hAnsi="Times New Roman"/>
          </w:rPr>
          <w:t>Norādes par konkrētām slejām</w:t>
        </w:r>
        <w:r w:rsidR="00327F4C">
          <w:rPr>
            <w:webHidden/>
          </w:rPr>
          <w:tab/>
        </w:r>
        <w:r w:rsidR="00327F4C">
          <w:rPr>
            <w:webHidden/>
          </w:rPr>
          <w:fldChar w:fldCharType="begin"/>
        </w:r>
        <w:r w:rsidR="00327F4C">
          <w:rPr>
            <w:webHidden/>
          </w:rPr>
          <w:instrText xml:space="preserve"> PAGEREF _Toc188522798 \h </w:instrText>
        </w:r>
        <w:r w:rsidR="00327F4C">
          <w:rPr>
            <w:webHidden/>
          </w:rPr>
        </w:r>
        <w:r w:rsidR="00327F4C">
          <w:rPr>
            <w:webHidden/>
          </w:rPr>
          <w:fldChar w:fldCharType="separate"/>
        </w:r>
        <w:r w:rsidR="00327F4C">
          <w:rPr>
            <w:webHidden/>
          </w:rPr>
          <w:t>18</w:t>
        </w:r>
        <w:r w:rsidR="00327F4C">
          <w:rPr>
            <w:webHidden/>
          </w:rPr>
          <w:fldChar w:fldCharType="end"/>
        </w:r>
      </w:hyperlink>
    </w:p>
    <w:p w14:paraId="20DF363A" w14:textId="1EE6164B"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8522784"/>
      <w:r>
        <w:rPr>
          <w:rFonts w:ascii="Times New Roman" w:hAnsi="Times New Roman"/>
        </w:rPr>
        <w:lastRenderedPageBreak/>
        <w:t>I DAĻA.</w:t>
      </w:r>
      <w:bookmarkEnd w:id="2"/>
      <w:r>
        <w:rPr>
          <w:rFonts w:ascii="Times New Roman" w:hAnsi="Times New Roman"/>
        </w:rPr>
        <w:t xml:space="preserve"> VISPĀRĪGI NORĀDĪJUMI</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8522785"/>
      <w:r>
        <w:rPr>
          <w:rFonts w:ascii="Times New Roman" w:hAnsi="Times New Roman"/>
          <w:b/>
          <w:sz w:val="24"/>
          <w:u w:val="none"/>
        </w:rPr>
        <w:t>Struktūra un pieņemtā prakse</w:t>
      </w:r>
      <w:bookmarkEnd w:id="4"/>
    </w:p>
    <w:p w14:paraId="5909C260" w14:textId="784FED9A" w:rsidR="00393539" w:rsidRPr="0039317F" w:rsidRDefault="00D40975" w:rsidP="00EA58FB">
      <w:pPr>
        <w:pStyle w:val="InstructionsText2"/>
      </w:pPr>
      <w:bookmarkStart w:id="5" w:name="_Toc264038399"/>
      <w:bookmarkStart w:id="6" w:name="_Toc294018834"/>
      <w:r>
        <w:t>Sistēma pārskatu sniegšanai par lielajiem riska darījumiem (</w:t>
      </w:r>
      <w:proofErr w:type="spellStart"/>
      <w:r>
        <w:t>large</w:t>
      </w:r>
      <w:proofErr w:type="spellEnd"/>
      <w:r>
        <w:t xml:space="preserve"> </w:t>
      </w:r>
      <w:proofErr w:type="spellStart"/>
      <w:r>
        <w:t>exposures</w:t>
      </w:r>
      <w:proofErr w:type="spellEnd"/>
      <w:r>
        <w:t xml:space="preserve"> – “LE”) sastāv no četrām veidnēm, kurās iekļauj šādu informāciju:</w:t>
      </w:r>
    </w:p>
    <w:p w14:paraId="6672C7F2" w14:textId="77777777" w:rsidR="00DA54E3" w:rsidRPr="0039317F" w:rsidRDefault="00CC2429">
      <w:pPr>
        <w:pStyle w:val="InstructionsText2"/>
        <w:numPr>
          <w:ilvl w:val="1"/>
          <w:numId w:val="15"/>
        </w:numPr>
        <w:rPr>
          <w:rFonts w:eastAsia="Arial"/>
        </w:rPr>
      </w:pPr>
      <w:r>
        <w:t>lielo riska darījumu limiti;</w:t>
      </w:r>
    </w:p>
    <w:p w14:paraId="5C6D7E68" w14:textId="77777777" w:rsidR="00DA54E3" w:rsidRPr="0039317F" w:rsidRDefault="00CC2429">
      <w:pPr>
        <w:pStyle w:val="InstructionsText2"/>
        <w:numPr>
          <w:ilvl w:val="1"/>
          <w:numId w:val="15"/>
        </w:numPr>
        <w:rPr>
          <w:rFonts w:eastAsia="Arial"/>
        </w:rPr>
      </w:pPr>
      <w:r>
        <w:t>darījuma partnera identifikācija (veidne LE1);</w:t>
      </w:r>
    </w:p>
    <w:p w14:paraId="6F974068" w14:textId="77777777" w:rsidR="00393539" w:rsidRPr="0039317F" w:rsidRDefault="00CC2429">
      <w:pPr>
        <w:pStyle w:val="InstructionsText2"/>
        <w:numPr>
          <w:ilvl w:val="1"/>
          <w:numId w:val="15"/>
        </w:numPr>
        <w:rPr>
          <w:rFonts w:eastAsia="Arial"/>
        </w:rPr>
      </w:pPr>
      <w:r>
        <w:t xml:space="preserve">riska darījumi </w:t>
      </w:r>
      <w:proofErr w:type="spellStart"/>
      <w:r>
        <w:t>netirdzniecības</w:t>
      </w:r>
      <w:proofErr w:type="spellEnd"/>
      <w:r>
        <w:t xml:space="preserve"> portfelī un tirdzniecības portfelī (veidne LE2); </w:t>
      </w:r>
    </w:p>
    <w:p w14:paraId="188ED3D0" w14:textId="77777777" w:rsidR="00393539" w:rsidRPr="0039317F" w:rsidRDefault="00CC2429">
      <w:pPr>
        <w:pStyle w:val="InstructionsText2"/>
        <w:numPr>
          <w:ilvl w:val="1"/>
          <w:numId w:val="15"/>
        </w:numPr>
        <w:rPr>
          <w:rFonts w:eastAsia="Arial"/>
        </w:rPr>
      </w:pPr>
      <w:r>
        <w:t>informācija par riska darījumiem ar atsevišķiem klientiem savstarpēji saistītu klientu grupās (veidne LE3).</w:t>
      </w:r>
    </w:p>
    <w:p w14:paraId="13C0076D" w14:textId="77777777" w:rsidR="003D56DE" w:rsidRPr="0039317F" w:rsidRDefault="00756759">
      <w:pPr>
        <w:pStyle w:val="InstructionsText2"/>
      </w:pPr>
      <w:r>
        <w:t>Instrukcijās ir iekļautas atsauces uz tiesību aktiem, kā arī sīka informācija attiecībā uz datiem, kurus sniedz katrā veidnē.</w:t>
      </w:r>
    </w:p>
    <w:p w14:paraId="48E9A023" w14:textId="77777777" w:rsidR="00B0191A" w:rsidRPr="0039317F" w:rsidRDefault="003105C6">
      <w:pPr>
        <w:pStyle w:val="InstructionsText2"/>
      </w:pPr>
      <w:r>
        <w:t xml:space="preserve">Instrukcijas un validācijas noteikumi atbilst turpmākajos punktos izklāstītajai apzīmēšanas konvencijai, atsaucoties uz veidnes slejām, rindām un šūnām. </w:t>
      </w:r>
    </w:p>
    <w:p w14:paraId="45B139C1" w14:textId="2EB8C2B4" w:rsidR="00B0191A" w:rsidRPr="0039317F" w:rsidRDefault="00F36707">
      <w:pPr>
        <w:pStyle w:val="InstructionsText2"/>
      </w:pPr>
      <w:r>
        <w:t>Instrukcijās un validācijas noteikumos parasti izmanto šādu konvenciju: {</w:t>
      </w:r>
      <w:proofErr w:type="spellStart"/>
      <w:r>
        <w:t>Veidne;Rinda;</w:t>
      </w:r>
      <w:r w:rsidR="00FC63B8">
        <w:t>Sleja</w:t>
      </w:r>
      <w:proofErr w:type="spellEnd"/>
      <w:r>
        <w:t>}. Zvaigznītes zīmi izmanto, lai norādītu, ka validācija ir veikta visām ziņotajām rindām).</w:t>
      </w:r>
    </w:p>
    <w:p w14:paraId="3B016F30" w14:textId="77777777" w:rsidR="00B0191A" w:rsidRPr="0039317F" w:rsidRDefault="003105C6">
      <w:pPr>
        <w:pStyle w:val="InstructionsText2"/>
        <w:rPr>
          <w:rFonts w:eastAsia="Arial"/>
        </w:rPr>
      </w:pPr>
      <w:r>
        <w:t>Ja validācija tiek veikta veidnē, kurā izmanto tikai attiecīgās veidnes datu punktus, tad apraksti neattiecas uz veidni: {Rinda; Sleja};</w:t>
      </w:r>
    </w:p>
    <w:p w14:paraId="4113689E" w14:textId="77777777" w:rsidR="00B0191A" w:rsidRDefault="006217F1">
      <w:pPr>
        <w:pStyle w:val="InstructionsText2"/>
      </w:pPr>
      <w:r>
        <w:t xml:space="preserve">ABS (vērtība): absolūtā vērtība bez zīmes. </w:t>
      </w:r>
      <w:bookmarkEnd w:id="5"/>
      <w:bookmarkEnd w:id="6"/>
      <w:r>
        <w:t>Jebkuru summu, kas palielina riska darījumu vērtību, uzrāda kā pozitīvu skaitli. Savukārt jebkuru summu, kas samazina riska darījumu vērtību, uzrāda kā negatīvu skaitli. Ja pirms kāda posteņa apzīmējuma ir mīnuszīme (-), šo posteni neuzrāda kā pozitīvu skaitli.</w:t>
      </w:r>
    </w:p>
    <w:p w14:paraId="20A1499F" w14:textId="3AE6C9A6" w:rsidR="0093135A" w:rsidRPr="0078562D" w:rsidRDefault="0078562D" w:rsidP="0078562D">
      <w:pPr>
        <w:pStyle w:val="Instructionsberschrift2"/>
        <w:numPr>
          <w:ilvl w:val="0"/>
          <w:numId w:val="20"/>
        </w:numPr>
        <w:rPr>
          <w:b/>
        </w:rPr>
      </w:pPr>
      <w:bookmarkStart w:id="7" w:name="_Toc188522786"/>
      <w:r>
        <w:rPr>
          <w:rFonts w:ascii="Times New Roman" w:hAnsi="Times New Roman"/>
          <w:b/>
          <w:sz w:val="24"/>
          <w:u w:val="none"/>
        </w:rPr>
        <w:t>Saīsinājumi</w:t>
      </w:r>
      <w:bookmarkEnd w:id="7"/>
    </w:p>
    <w:p w14:paraId="66921288" w14:textId="77777777" w:rsidR="0093135A" w:rsidRDefault="0093135A" w:rsidP="00EA58FB">
      <w:pPr>
        <w:pStyle w:val="InstructionsText2"/>
      </w:pPr>
      <w:r>
        <w:t>Šajā pielikumā Regula (ES) Nr. 575/2013 dēvēta par “KPR”.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8522787"/>
      <w:r>
        <w:rPr>
          <w:rFonts w:ascii="Times New Roman" w:hAnsi="Times New Roman"/>
        </w:rPr>
        <w:lastRenderedPageBreak/>
        <w:t>II DAĻA. NORĀDĪJUMI SAISTĪBĀ AR VEIDNI</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522788"/>
      <w:bookmarkEnd w:id="10"/>
      <w:r>
        <w:rPr>
          <w:rFonts w:ascii="Times New Roman" w:hAnsi="Times New Roman"/>
          <w:b/>
          <w:sz w:val="24"/>
          <w:u w:val="none"/>
        </w:rPr>
        <w:t>Lielo riska darījumu pārskatu sniegšanas tvērums un līmenis</w:t>
      </w:r>
      <w:bookmarkEnd w:id="11"/>
    </w:p>
    <w:p w14:paraId="348AB70C" w14:textId="5B5129C3" w:rsidR="000F13EA" w:rsidRPr="00EA58FB" w:rsidRDefault="000F13EA">
      <w:pPr>
        <w:pStyle w:val="InstructionsText2"/>
        <w:numPr>
          <w:ilvl w:val="0"/>
          <w:numId w:val="27"/>
        </w:numPr>
        <w:rPr>
          <w:rFonts w:eastAsia="Arial"/>
        </w:rPr>
      </w:pPr>
      <w:r>
        <w:t xml:space="preserve">Lai paziņotu informāciju par lielajiem riska darījumiem atsevišķi ar katru klientu vai savstarpēji saistītu klientu grupu saskaņā ar Regulas (ES) Nr. 575/2013 (Kapitāla prasību regula – “KPR”) 394. panta 1. punktu, iestādes izmanto veidnes LE1, LE2 un LE3. </w:t>
      </w:r>
    </w:p>
    <w:p w14:paraId="489D28D7" w14:textId="70A5F703" w:rsidR="00B0191A" w:rsidRPr="0039317F" w:rsidRDefault="000F13EA">
      <w:pPr>
        <w:pStyle w:val="InstructionsText2"/>
        <w:rPr>
          <w:rFonts w:eastAsia="Arial"/>
        </w:rPr>
      </w:pPr>
      <w:r>
        <w:t xml:space="preserve">Lai konsolidētā veidā sniegtu informāciju par lielajiem riska darījumiem ar klientiem vai savstarpēji saistītu klientu grupām saskaņā ar KPR 394. panta 1. punktu, dalībvalsts mātes iestādes izmanto veidnes LE1, LE2 un LE3. </w:t>
      </w:r>
    </w:p>
    <w:p w14:paraId="5034A602" w14:textId="68BD3E39" w:rsidR="00B0191A" w:rsidRPr="0039317F" w:rsidRDefault="00A11FB0">
      <w:pPr>
        <w:pStyle w:val="InstructionsText2"/>
        <w:rPr>
          <w:rFonts w:eastAsia="Arial"/>
        </w:rPr>
      </w:pPr>
      <w:r>
        <w:t xml:space="preserve">Tiek sniegts pārskats par katru lielo riska darījumu, kas noteikts saskaņā ar KPR 392. pantu, tostarp par lielajiem riska darījumiem, kurus neņem vērā attiecībā uz atbilstību KPR 395. pantā noteiktajam lielo riska darījumu limitam. </w:t>
      </w:r>
    </w:p>
    <w:p w14:paraId="0ED175C5" w14:textId="40979611" w:rsidR="00B0191A" w:rsidRPr="0039317F" w:rsidRDefault="001C7BF0">
      <w:pPr>
        <w:pStyle w:val="InstructionsText2"/>
        <w:rPr>
          <w:rFonts w:eastAsia="Arial"/>
        </w:rPr>
      </w:pPr>
      <w:r>
        <w:t xml:space="preserve">Lai konsolidētā veidā sniegtu informāciju par 20 lielākajiem riska darījumiem ar klientiem vai savstarpēji saistītu klientu grupām saskaņā ar KPR 394. panta 1. punkta otro daļu, dalībvalsts mātes iestādes, uz kurām attiecas KPR trešās daļas II sadaļas 3. nodaļa, izmanto veidnes LE1, LE2 un LE3. Riska darījuma vērtība, kas iegūta, atņemot veidnes LE2 320. slejā norādīto summu (“Summas, uz kurām attiecas atbrīvojums”) no tās pašas veidnes 210. slejā norādītās summas (“Kopā”), ir summa, ko izmanto, lai noteiktu šos 20 lielākos riska darījumus. </w:t>
      </w:r>
    </w:p>
    <w:p w14:paraId="149FAE48" w14:textId="1F7D0EE8" w:rsidR="00B0191A" w:rsidRPr="0039317F" w:rsidRDefault="00C1644D">
      <w:pPr>
        <w:pStyle w:val="InstructionsText2"/>
        <w:rPr>
          <w:rFonts w:eastAsia="Arial"/>
        </w:rPr>
      </w:pPr>
      <w:r>
        <w:t>Lai konsolidētā veidā sniegtu informāciju par desmit lielākajiem riska darījumiem ar iestādēm, kā arī par desmit lielākajiem riska darījumiem ar ēnu banku sistēmas struktūrām, kuras veic banku darbības ārpus regulētās sistēmas, saskaņā ar KPR 394. panta 2. punkta a) līdz d) apakšpunktu, dalībvalsts mātes iestādes izmanto veidnes LE1, LE2 un LE3. Riska darījuma vērtība, kas aprēķināta veidnes LE2 slejā 210 (“Kopā”), ir summa, ko izmanto, lai noteiktu šos 20 lielākos riska darījumus.</w:t>
      </w:r>
    </w:p>
    <w:p w14:paraId="7C7B16A6" w14:textId="4D00F24A" w:rsidR="00FA26D9" w:rsidRPr="00BB02BD" w:rsidRDefault="00FA26D9">
      <w:pPr>
        <w:pStyle w:val="InstructionsText2"/>
        <w:rPr>
          <w:rFonts w:eastAsia="Arial"/>
        </w:rPr>
      </w:pPr>
      <w:r>
        <w:t xml:space="preserve">Lai konsolidētā veidā sniegtu informāciju par riska darījumiem, kuru vērtība ir lielāka par vai vienāda ar EUR 300 miljoniem, taču nepārsniedz 10 % no iestādes pirmā līmeņa kapitāla, saskaņā ar KPR 394. panta 1. punkta pēdējo teikumu, dalībvalsts mātes iestādes izmanto veidnes LE1, LE2 un LE3. Riska darījumu vērtība, kas aprēķināta veidnes LE2 slejā 210 (“Kopā”), ir summa, ko izmanto, lai noteiktu šos riska darījumus. </w:t>
      </w:r>
    </w:p>
    <w:p w14:paraId="4CEDBDF9" w14:textId="385BED4E" w:rsidR="00B0191A" w:rsidRPr="0039317F" w:rsidRDefault="001E0F83">
      <w:pPr>
        <w:pStyle w:val="InstructionsText2"/>
        <w:rPr>
          <w:rFonts w:eastAsia="Arial"/>
        </w:rPr>
      </w:pPr>
      <w:r>
        <w:t xml:space="preserve">Datus par lielajiem riska darījumiem un attiecīgajiem lielākajiem riska darījumiem, kā arī datus par riska darījumiem, kuru vērtība ir lielāka par vai vienāda ar EUR 300 miljoniem, taču nepārsniedz 10 % no iestādes pirmā līmeņa kapitāla, ar savstarpēji saistītu klientu grupām un atsevišķiem klientiem, kas nepieder pie savstarpēji saistītu klientu grupas, norāda veidnē LE2 (kurā savstarpēji saistītu klientu grupu uzrāda kā vienu atsevišķu riska darījumu). </w:t>
      </w:r>
    </w:p>
    <w:p w14:paraId="579DCDAD" w14:textId="77777777" w:rsidR="00B0191A" w:rsidRPr="0039317F" w:rsidRDefault="008A4511">
      <w:pPr>
        <w:pStyle w:val="InstructionsText2"/>
        <w:rPr>
          <w:rFonts w:eastAsia="Arial"/>
        </w:rPr>
      </w:pPr>
      <w:r>
        <w:t xml:space="preserve">Iestādes LE3 veidnē norāda datus par riska darījumiem ar atsevišķiem klientiem, kas pieder pie savstarpēji saistītu klientu grupām, ko norāda LE2 veidnē. Veidnē LE2 sniegto informāciju par riska darījumu ar atsevišķu klientu atkārtoti nesniedz veidnē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8522789"/>
      <w:r>
        <w:rPr>
          <w:rFonts w:ascii="Times New Roman" w:hAnsi="Times New Roman"/>
          <w:b/>
          <w:sz w:val="24"/>
          <w:u w:val="none"/>
        </w:rPr>
        <w:lastRenderedPageBreak/>
        <w:t>Lielo riska darījumu (LE) veidnes struktūra</w:t>
      </w:r>
      <w:bookmarkEnd w:id="12"/>
    </w:p>
    <w:p w14:paraId="78D189BE" w14:textId="77777777" w:rsidR="00A11EC0" w:rsidRPr="0039317F" w:rsidRDefault="00B945FE">
      <w:pPr>
        <w:pStyle w:val="InstructionsText2"/>
        <w:rPr>
          <w:rFonts w:eastAsia="Arial"/>
        </w:rPr>
      </w:pPr>
      <w:r>
        <w:t>Veidnes LE1 slejās norāda informāciju, kas attiecas uz atsevišķu klientu vai savstarpēji saistītu klientu grupu, ar kuriem iestādei ir riska darījums, identificēšanu.</w:t>
      </w:r>
    </w:p>
    <w:p w14:paraId="199E3CE1" w14:textId="77777777" w:rsidR="00B0191A" w:rsidRPr="0039317F" w:rsidRDefault="009362E7">
      <w:pPr>
        <w:pStyle w:val="InstructionsText2"/>
        <w:rPr>
          <w:rFonts w:eastAsia="Arial"/>
        </w:rPr>
      </w:pPr>
      <w:r>
        <w:t xml:space="preserve">Veidnes LE2 un veidnes LE3 slejās sniedz šādas informācijas blokus:   </w:t>
      </w:r>
    </w:p>
    <w:p w14:paraId="66924B25" w14:textId="77777777" w:rsidR="00B0191A" w:rsidRPr="0039317F" w:rsidRDefault="001E0F83">
      <w:pPr>
        <w:pStyle w:val="InstructionsText2"/>
        <w:numPr>
          <w:ilvl w:val="1"/>
          <w:numId w:val="15"/>
        </w:numPr>
        <w:rPr>
          <w:rFonts w:eastAsia="Arial"/>
        </w:rPr>
      </w:pPr>
      <w:r>
        <w:t>riska darījuma vērtība, pirms piemēroti atbrīvojumi un pirms ņemta vērā kredītriska mazināšanas ietekme, tostarp tiešie un netiešie riska darījumi un papildu riska darījumi, kas izriet no darījumiem riska darījumu ar pamatā esošajiem aktīviem gadījumā;</w:t>
      </w:r>
    </w:p>
    <w:p w14:paraId="1559A841" w14:textId="77777777" w:rsidR="00B0191A" w:rsidRPr="0039317F" w:rsidRDefault="001E0F83">
      <w:pPr>
        <w:pStyle w:val="InstructionsText2"/>
        <w:numPr>
          <w:ilvl w:val="1"/>
          <w:numId w:val="15"/>
        </w:numPr>
        <w:rPr>
          <w:rFonts w:eastAsia="Arial"/>
        </w:rPr>
      </w:pPr>
      <w:r>
        <w:t>atbrīvojumu un kredītriska mazināšanas metožu ietekme;</w:t>
      </w:r>
    </w:p>
    <w:p w14:paraId="2B9888FA" w14:textId="77777777" w:rsidR="00B0191A" w:rsidRPr="0039317F" w:rsidRDefault="001E0F83">
      <w:pPr>
        <w:pStyle w:val="InstructionsText2"/>
        <w:numPr>
          <w:ilvl w:val="1"/>
          <w:numId w:val="15"/>
        </w:numPr>
        <w:rPr>
          <w:rFonts w:eastAsia="Arial"/>
        </w:rPr>
      </w:pPr>
      <w:r>
        <w:t xml:space="preserve">riska darījuma vērtība pēc atbrīvojumu piemērošanas un pēc tam, kad ņemta vērā kredītriska mazināšanas ietekme, kas aprēķināta KPR 395. panta 1. punkta piemērošanas nolūkā.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522790"/>
      <w:bookmarkEnd w:id="13"/>
      <w:r>
        <w:rPr>
          <w:rFonts w:ascii="Times New Roman" w:hAnsi="Times New Roman"/>
          <w:b/>
          <w:sz w:val="24"/>
          <w:u w:val="none"/>
        </w:rPr>
        <w:t>Definīcijas un vispārīgas norādes, kas piemērojamas pārskatu sniegšanai par lielajiem riska darījumiem</w:t>
      </w:r>
      <w:bookmarkEnd w:id="14"/>
    </w:p>
    <w:p w14:paraId="6BE8FC09" w14:textId="1BB1A0CB" w:rsidR="001E0F83" w:rsidRPr="0039317F" w:rsidRDefault="00B945FE">
      <w:pPr>
        <w:pStyle w:val="InstructionsText2"/>
        <w:rPr>
          <w:rFonts w:eastAsia="Arial"/>
        </w:rPr>
      </w:pPr>
      <w:r>
        <w:t>Jēdziens “savstarpēji saistītu klientu grupa” ir definēts KPR 4. panta 1. punkta 39. apakšpunktā.</w:t>
      </w:r>
    </w:p>
    <w:p w14:paraId="4BC25B8A" w14:textId="08723C4E" w:rsidR="00B0191A" w:rsidRPr="0039317F" w:rsidRDefault="00D441A7">
      <w:pPr>
        <w:pStyle w:val="InstructionsText2"/>
        <w:rPr>
          <w:rFonts w:eastAsia="Arial"/>
        </w:rPr>
      </w:pPr>
      <w:r>
        <w:t xml:space="preserve">Jēdziens “iestādes” ir definēts KPR 4. panta 1. punkta 3. apakšpunktā.  </w:t>
      </w:r>
    </w:p>
    <w:p w14:paraId="7A3E8C1B" w14:textId="77777777" w:rsidR="00B0191A" w:rsidRPr="0039317F" w:rsidRDefault="009B34D1">
      <w:pPr>
        <w:pStyle w:val="InstructionsText2"/>
        <w:rPr>
          <w:rFonts w:eastAsia="Arial"/>
        </w:rPr>
      </w:pPr>
      <w:r>
        <w:t xml:space="preserve">Tiek sniegts pārskats par riska darījumiem ar “civiltiesiskām asociācijām”. Turklāt iestādes pieskaita civiltiesiskas asociācijas kredīta summas katra partnera parādsaistībām. Riska darījumus ar civiltiesiskām asociācijām, kuros pastāv kvotas, sadala starp partneriem vai iedala tiem atbilstīgi to attiecīgajām kvotām. Par atsevišķiem veidojumiem (piemēram, kopīgiem kontiem, mantinieku kopienām, aizdevumiem, kas sniegti nominālam aizņēmējam), kuri faktiski darbojas tāpat kā civiltiesiskas asociācijas, jāsniedz pārskats tāpat kā par riska darījumiem ar civiltiesiskām asociācijām. </w:t>
      </w:r>
    </w:p>
    <w:p w14:paraId="4C91D2E1" w14:textId="0927C7CF" w:rsidR="00910E26" w:rsidRPr="0039317F" w:rsidRDefault="00D441A7">
      <w:pPr>
        <w:pStyle w:val="InstructionsText2"/>
        <w:rPr>
          <w:rFonts w:eastAsia="Arial"/>
        </w:rPr>
      </w:pPr>
      <w:r>
        <w:t>Saskaņā ar KPR 389. pantu aktīviem un ārpusbilances posteņiem nepiemēro riska svērumus un riska līmeņus. Konkrēti, ārpusbilances posteņiem nepiemēro kredītu korekcijas pakāpes.</w:t>
      </w:r>
    </w:p>
    <w:p w14:paraId="1153F14F" w14:textId="56290BD7" w:rsidR="00B0191A" w:rsidRPr="0039317F" w:rsidRDefault="0039317F">
      <w:pPr>
        <w:pStyle w:val="InstructionsText2"/>
        <w:rPr>
          <w:rFonts w:eastAsia="Arial"/>
        </w:rPr>
      </w:pPr>
      <w:r>
        <w:t xml:space="preserve"> Jēdziens “riska darījumi” ir definēts KPR 389. pantā: </w:t>
      </w:r>
    </w:p>
    <w:p w14:paraId="5C5D28EE" w14:textId="704D223C" w:rsidR="00B0191A" w:rsidRPr="0039317F" w:rsidRDefault="00FE293E">
      <w:pPr>
        <w:pStyle w:val="InstructionsText2"/>
        <w:numPr>
          <w:ilvl w:val="1"/>
          <w:numId w:val="15"/>
        </w:numPr>
        <w:rPr>
          <w:rFonts w:eastAsia="Arial"/>
        </w:rPr>
      </w:pPr>
      <w:r>
        <w:t xml:space="preserve">“riska darījumi” ir jebkuri aktīvi vai ārpusbilances posteņi </w:t>
      </w:r>
      <w:proofErr w:type="spellStart"/>
      <w:r>
        <w:t>netirdzniecības</w:t>
      </w:r>
      <w:proofErr w:type="spellEnd"/>
      <w:r>
        <w:t xml:space="preserve"> un tirdzniecības portfelī, tostarp KPR 400. pantā norādītie posteņi, izņemot posteņus, uz kuriem attiecas KPR 390. panta 6. punkta a) līdz d) apakšpunkts; </w:t>
      </w:r>
    </w:p>
    <w:p w14:paraId="7CF82C5E" w14:textId="25CE0D89" w:rsidR="00B0191A" w:rsidRPr="0039317F" w:rsidRDefault="00AB5AE4">
      <w:pPr>
        <w:pStyle w:val="InstructionsText2"/>
        <w:numPr>
          <w:ilvl w:val="1"/>
          <w:numId w:val="15"/>
        </w:numPr>
        <w:rPr>
          <w:rFonts w:eastAsia="Arial"/>
        </w:rPr>
      </w:pPr>
      <w:r>
        <w:t xml:space="preserve">“netiešie riska darījumi” ir tie riska darījumi, kas iedalīti nevis tiešajam aizdevējam, bet garantijas devējam vai nodrošinājuma emitentam saskaņā ar KPR 403. pantu. </w:t>
      </w:r>
      <w:r>
        <w:rPr>
          <w:i/>
        </w:rPr>
        <w:t xml:space="preserve">Šeit izmantotās definīcijas nekādā iespējamajā aspektā nedrīkst atšķirties no tiesību </w:t>
      </w:r>
      <w:proofErr w:type="spellStart"/>
      <w:r>
        <w:rPr>
          <w:i/>
        </w:rPr>
        <w:t>pamataktā</w:t>
      </w:r>
      <w:proofErr w:type="spellEnd"/>
      <w:r>
        <w:rPr>
          <w:i/>
        </w:rPr>
        <w:t xml:space="preserve"> sniegtajām definīcijām.</w:t>
      </w:r>
    </w:p>
    <w:p w14:paraId="57CB004B" w14:textId="6CEA0075" w:rsidR="00B0191A" w:rsidRPr="0039317F" w:rsidRDefault="00F40CD9">
      <w:pPr>
        <w:pStyle w:val="InstructionsText2"/>
        <w:rPr>
          <w:rFonts w:eastAsia="Arial"/>
        </w:rPr>
      </w:pPr>
      <w:r>
        <w:t>Riska darījumus ar savstarpēji saistītu klientu grupām aprēķina saskaņā ar KPR 390. panta 1. punktu.</w:t>
      </w:r>
    </w:p>
    <w:p w14:paraId="7BBA31D9" w14:textId="5C64993F" w:rsidR="002803FF" w:rsidRPr="00A947CE" w:rsidRDefault="008645CF">
      <w:pPr>
        <w:pStyle w:val="InstructionsText2"/>
        <w:rPr>
          <w:rFonts w:eastAsia="Arial"/>
        </w:rPr>
      </w:pPr>
      <w:r>
        <w:lastRenderedPageBreak/>
        <w:t xml:space="preserve">“Savstarpējo prasījumu ieskaita līgumus” ir atļauts ņemt vērā, nosakot lielo riska darījumu vērtību, kā tas izklāstīts KPR 390. panta 3., 4. un 5. punktā. KPR II pielikumā norādīto atvasināto instrumentu līgumu un kredītu atvasināto instrumenta līgumu, kas noslēgti tieši ar klientu, riska darījumu vērtību nosaka saskaņā ar KPR trešās daļas II sadaļas 6. nodaļu, ņemot vērā pārjaunojuma līgumu un citu ieskaita līgumu ietekmi, ko ņem vērā šo metožu nolūkiem saskaņā ar KPR trešās daļas II sadaļas 6. nodaļas 3. līdz 5. iedaļu. </w:t>
      </w:r>
      <w:proofErr w:type="spellStart"/>
      <w:r>
        <w:t>Repo</w:t>
      </w:r>
      <w:proofErr w:type="spellEnd"/>
      <w:r>
        <w:t xml:space="preserve"> darījumu, vērtspapīru vai preču aizdevumu vai aizņēmumu darījumu, ilgstošo norēķinu darījumu un </w:t>
      </w:r>
      <w:proofErr w:type="spellStart"/>
      <w:r>
        <w:t>maržinālo</w:t>
      </w:r>
      <w:proofErr w:type="spellEnd"/>
      <w:r>
        <w:t xml:space="preserve"> aizdevumu darījumu riska darījuma vērtību nosaka atbilstoši KPR trešās daļas II sadaļas 4. vai 6. nodaļai. Saskaņā ar KPR 296. pantu vienas juridiskas saistības, kas izriet no dažādu produktu savstarpējo prasījumu līgumiska ieskaita līguma ar pārskata sniedzējas iestādes darījuma partneri, riska darījuma vērtību LE veidnēs uzrāda kā “citas apņemšanās”.</w:t>
      </w:r>
    </w:p>
    <w:p w14:paraId="53B477A1" w14:textId="37E6D77A" w:rsidR="00AB28E2" w:rsidRPr="0039317F" w:rsidRDefault="001E0F83">
      <w:pPr>
        <w:pStyle w:val="InstructionsText2"/>
        <w:rPr>
          <w:rFonts w:eastAsia="Arial"/>
        </w:rPr>
      </w:pPr>
      <w:r>
        <w:t>“Riska darījuma vērtību” aprēķina saskaņā ar KPR 390. pantu.</w:t>
      </w:r>
    </w:p>
    <w:p w14:paraId="4D5E3A46" w14:textId="4C88152A" w:rsidR="00B0191A" w:rsidRPr="0039317F" w:rsidRDefault="001E0F83">
      <w:pPr>
        <w:pStyle w:val="InstructionsText2"/>
        <w:rPr>
          <w:rFonts w:eastAsia="Arial"/>
        </w:rPr>
      </w:pPr>
      <w:r>
        <w:t xml:space="preserve">Atbrīvojumu un atbilstīgu kredītriska mazināšanas metožu pilnīgas vai daļējas piemērošanas, lai aprēķinātu riska darījuma vērtību KPR 395. panta 1. punkta nolūkā, ietekme ir aprakstīta KPR 399. līdz 403. pantā. </w:t>
      </w:r>
    </w:p>
    <w:p w14:paraId="7DFEBC9B" w14:textId="10A786DF" w:rsidR="00B0191A" w:rsidRPr="00C16D53" w:rsidRDefault="002B6BEB" w:rsidP="00A55755">
      <w:pPr>
        <w:pStyle w:val="InstructionsText2"/>
        <w:rPr>
          <w:rFonts w:eastAsia="Arial"/>
        </w:rPr>
      </w:pPr>
      <w:r>
        <w:t xml:space="preserve">Par līgumiem par aktīvu pirkšanu ar </w:t>
      </w:r>
      <w:proofErr w:type="spellStart"/>
      <w:r>
        <w:t>atpārdošanu</w:t>
      </w:r>
      <w:proofErr w:type="spellEnd"/>
      <w:r>
        <w:t xml:space="preserve"> iestādes pārskatu sniedz saskaņā ar KPR 402. panta 3. punktu. Ja ir izpildīti KPR 402. panta 3. punktā noteiktie kritēriji, iestāde sniedz pārskatu par lielajiem riska darījumiem ar katru trešo personu par prasījuma summu, kas darījuma partnerim ir pret šo trešo personu, un nevis par riska darījuma ar darījuma partneri summu.</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8522791"/>
      <w:r>
        <w:rPr>
          <w:rFonts w:ascii="Times New Roman" w:hAnsi="Times New Roman"/>
          <w:b/>
          <w:sz w:val="24"/>
          <w:u w:val="none"/>
        </w:rPr>
        <w:t>C 26.00 - lielo riska darījumu limitu veidne</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8522792"/>
      <w:r>
        <w:rPr>
          <w:rFonts w:ascii="Times New Roman" w:hAnsi="Times New Roman"/>
          <w:sz w:val="24"/>
        </w:rPr>
        <w:t>Norādes par konkrētām rindām</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Rindas</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Atsauces uz tiesību aktu noteikumiem un norādījumi</w:t>
            </w:r>
          </w:p>
        </w:tc>
      </w:tr>
      <w:tr w:rsidR="00C83135" w:rsidRPr="00384ADB" w14:paraId="0CDCEE6A" w14:textId="77777777" w:rsidTr="00207228">
        <w:tc>
          <w:tcPr>
            <w:tcW w:w="1418" w:type="dxa"/>
          </w:tcPr>
          <w:p w14:paraId="31DB92E3" w14:textId="639DCC24"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r w:rsidR="00570CDB">
              <w:rPr>
                <w:rStyle w:val="FormatvorlageInstructionsTabelleText"/>
                <w:rFonts w:ascii="Times New Roman" w:hAnsi="Times New Roman"/>
                <w:b/>
                <w:sz w:val="24"/>
              </w:rPr>
              <w:t>.</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Struktūras, kas nav iestādes</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395. panta 1. punkts, 458. panta 2. punkta d) apakšpunkta ii) punkts, 458. panta 10. punkts un 459. panta b) punkts.</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Attiecībā uz darījumu partneriem, kas nav iestādes, tiek norādīta piemērojamā limita summa. Šī summa ir 25 % no pirmā līmeņa kapitāla, kas norādīts I pielikuma C 01.00 veidnes 015. rindā, ja vien netiek piemērota ierobežojošāka procentuāla attiecība saistībā ar to, ka tiek piemēroti valsts pasākumi saskaņā ar KPR 458. pantu vai deleģētie akti, kas pieņemti saskaņā ar KPR 462. pantu attiecībā uz 459. panta b) apakšpunktā minētajām prasībām. </w:t>
            </w:r>
          </w:p>
        </w:tc>
      </w:tr>
      <w:tr w:rsidR="00C83135" w:rsidRPr="00384ADB" w14:paraId="27D35B54" w14:textId="77777777" w:rsidTr="00207228">
        <w:tc>
          <w:tcPr>
            <w:tcW w:w="1418" w:type="dxa"/>
          </w:tcPr>
          <w:p w14:paraId="12B3198C" w14:textId="37AD6E53"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r w:rsidR="00570CDB">
              <w:rPr>
                <w:rStyle w:val="FormatvorlageInstructionsTabelleText"/>
                <w:rFonts w:ascii="Times New Roman" w:hAnsi="Times New Roman"/>
                <w:b/>
                <w:sz w:val="24"/>
              </w:rPr>
              <w:t>.</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Iestādes</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395. panta 1. punkts, 458. panta 2. punkta d) apakšpunkta ii) punkts, 458. panta 10. punkts un 459. panta b) punkts.</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Iestādes norāda piemērojamā limita summu attiecībā uz darījumu partneriem, kas ir iestādes. Saskaņā ar KPR 395. panta 1. punktu šī summa ir šāda:</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ja 25 % no pirmā līmeņa kapitāla pārsniedz 150 miljonus </w:t>
            </w:r>
            <w:proofErr w:type="spellStart"/>
            <w:r>
              <w:rPr>
                <w:rStyle w:val="FormatvorlageInstructionsTabelleText"/>
                <w:rFonts w:ascii="Times New Roman" w:hAnsi="Times New Roman"/>
                <w:sz w:val="24"/>
              </w:rPr>
              <w:t>euro</w:t>
            </w:r>
            <w:proofErr w:type="spellEnd"/>
            <w:r>
              <w:rPr>
                <w:rStyle w:val="FormatvorlageInstructionsTabelleText"/>
                <w:rFonts w:ascii="Times New Roman" w:hAnsi="Times New Roman"/>
                <w:sz w:val="24"/>
              </w:rPr>
              <w:t xml:space="preserve"> (vai arī limitu, kas ir zemāks nekā 150 miljoni </w:t>
            </w:r>
            <w:proofErr w:type="spellStart"/>
            <w:r>
              <w:rPr>
                <w:rStyle w:val="FormatvorlageInstructionsTabelleText"/>
                <w:rFonts w:ascii="Times New Roman" w:hAnsi="Times New Roman"/>
                <w:sz w:val="24"/>
              </w:rPr>
              <w:t>euro</w:t>
            </w:r>
            <w:proofErr w:type="spellEnd"/>
            <w:r>
              <w:rPr>
                <w:rStyle w:val="FormatvorlageInstructionsTabelleText"/>
                <w:rFonts w:ascii="Times New Roman" w:hAnsi="Times New Roman"/>
                <w:sz w:val="24"/>
              </w:rPr>
              <w:t xml:space="preserve"> un kuru noteikusi kompetentā iestāde saskaņā ar KPR 395. panta 1. punkta trešo daļu), tad tiek norādīti 25 % no pirmā līmeņa kapitāla;</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ja 150 miljoni </w:t>
            </w:r>
            <w:proofErr w:type="spellStart"/>
            <w:r>
              <w:rPr>
                <w:rStyle w:val="FormatvorlageInstructionsTabelleText"/>
                <w:rFonts w:ascii="Times New Roman" w:hAnsi="Times New Roman"/>
                <w:sz w:val="24"/>
              </w:rPr>
              <w:t>euro</w:t>
            </w:r>
            <w:proofErr w:type="spellEnd"/>
            <w:r>
              <w:rPr>
                <w:rStyle w:val="FormatvorlageInstructionsTabelleText"/>
                <w:rFonts w:ascii="Times New Roman" w:hAnsi="Times New Roman"/>
                <w:sz w:val="24"/>
              </w:rPr>
              <w:t xml:space="preserve"> (vai mazāks limits, kuru noteikusi kompetentā iestāde saskaņā ar KPR 395. panta 1. punkta trešo daļu), ir lielāks lielums nekā 25 % no iestādes pirmā līmeņa kapitāla, tad uzrāda 150 miljonus </w:t>
            </w:r>
            <w:proofErr w:type="spellStart"/>
            <w:r>
              <w:rPr>
                <w:rStyle w:val="FormatvorlageInstructionsTabelleText"/>
                <w:rFonts w:ascii="Times New Roman" w:hAnsi="Times New Roman"/>
                <w:sz w:val="24"/>
              </w:rPr>
              <w:t>euro</w:t>
            </w:r>
            <w:proofErr w:type="spellEnd"/>
            <w:r>
              <w:rPr>
                <w:rStyle w:val="FormatvorlageInstructionsTabelleText"/>
                <w:rFonts w:ascii="Times New Roman" w:hAnsi="Times New Roman"/>
                <w:sz w:val="24"/>
              </w:rPr>
              <w:t xml:space="preserve"> (vai zemāko robežu, ja tādu noteikusi kompetentā iestāde). Ja iestāde ir noteikusi zemāku limitu attiecībā uz tās pirmā līmeņa kapitālu, kā noteikts KPR 395. panta 1. punkta otrajā daļā, uzrāda šo limitu.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Šie limiti var būt stingrāki, ja piemēro valsts pasākumus saskaņā ar KPR 395. panta 6. punktu vai 458. pantu vai deleģētos aktus, kas pieņemti saskaņā ar KPR 462. pantu attiecībā uz 459. panta b) apakšpunktā minētajām prasībām.</w:t>
            </w:r>
          </w:p>
        </w:tc>
      </w:tr>
      <w:tr w:rsidR="00C83135" w:rsidRPr="00384ADB" w14:paraId="0F11DC11" w14:textId="77777777" w:rsidTr="00207228">
        <w:tc>
          <w:tcPr>
            <w:tcW w:w="1418" w:type="dxa"/>
          </w:tcPr>
          <w:p w14:paraId="72636BF2" w14:textId="136E398D"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r w:rsidR="00570CDB">
              <w:rPr>
                <w:rStyle w:val="FormatvorlageInstructionsTabelleText"/>
                <w:rFonts w:ascii="Times New Roman" w:hAnsi="Times New Roman"/>
                <w:b/>
                <w:sz w:val="24"/>
              </w:rPr>
              <w:t>.</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Iestādes,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395. panta 1. punkts un 459. panta a) punkts</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Summa, kura tiek norādīta, ir absolūtais limits (to norāda 020. rindā), ko izsaka kā procentuālo attiecību pret pirmā līmeņa kapitālu.</w:t>
            </w:r>
          </w:p>
        </w:tc>
      </w:tr>
      <w:tr w:rsidR="00E544D6" w:rsidRPr="00384ADB" w14:paraId="60BE6ECD" w14:textId="77777777" w:rsidTr="00207228">
        <w:tc>
          <w:tcPr>
            <w:tcW w:w="1418" w:type="dxa"/>
          </w:tcPr>
          <w:p w14:paraId="11804A11" w14:textId="06A29012"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r w:rsidR="00570CDB">
              <w:rPr>
                <w:rStyle w:val="FormatvorlageInstructionsTabelleText"/>
                <w:rFonts w:ascii="Times New Roman" w:hAnsi="Times New Roman"/>
                <w:b/>
                <w:sz w:val="24"/>
              </w:rPr>
              <w:t>.</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Globālas sistēmiski nozīmīgas iestādes (G–SNI)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395. panta 1. punkts</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 xml:space="preserve">Tiek norādīta piemērojamā limita summa attiecībā uz darījumu partneriem, kas ir iestādes vai grupas, kas identificētas kā G–SNI vai </w:t>
            </w:r>
            <w:proofErr w:type="spellStart"/>
            <w:r>
              <w:rPr>
                <w:rStyle w:val="FormatvorlageInstructionsTabelleText"/>
                <w:rFonts w:ascii="Times New Roman" w:hAnsi="Times New Roman"/>
                <w:sz w:val="24"/>
              </w:rPr>
              <w:t>ārpussavienības</w:t>
            </w:r>
            <w:proofErr w:type="spellEnd"/>
            <w:r>
              <w:rPr>
                <w:rStyle w:val="FormatvorlageInstructionsTabelleText"/>
                <w:rFonts w:ascii="Times New Roman" w:hAnsi="Times New Roman"/>
                <w:sz w:val="24"/>
              </w:rPr>
              <w:t xml:space="preserve"> G–SNI. Saskaņā ar KPR 395. panta 1. punktu šis limits ir šāds:</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 xml:space="preserve">G–SNI neiesaistās riska darījumā ar citu iestādi vai grupu, kas identificēta kā G–SNI vai </w:t>
            </w:r>
            <w:proofErr w:type="spellStart"/>
            <w:r>
              <w:rPr>
                <w:rStyle w:val="FormatvorlageInstructionsTabelleText"/>
                <w:rFonts w:ascii="Times New Roman" w:hAnsi="Times New Roman"/>
                <w:sz w:val="24"/>
              </w:rPr>
              <w:t>ārpussavienības</w:t>
            </w:r>
            <w:proofErr w:type="spellEnd"/>
            <w:r>
              <w:rPr>
                <w:rStyle w:val="FormatvorlageInstructionsTabelleText"/>
                <w:rFonts w:ascii="Times New Roman" w:hAnsi="Times New Roman"/>
                <w:sz w:val="24"/>
              </w:rPr>
              <w:t xml:space="preserve"> G–SNI, ja šāda darījuma vērtība, ņemot vērā kredītriska mazināšanas ietekmi, pārsniedz 15 % no tās pirmā līmeņa kapitāla.</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8522793"/>
      <w:r>
        <w:rPr>
          <w:rFonts w:ascii="Times New Roman" w:hAnsi="Times New Roman"/>
          <w:b/>
          <w:sz w:val="24"/>
          <w:u w:val="none"/>
        </w:rPr>
        <w:t>C 27.00 - darījuma partnera identifikācija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8522794"/>
      <w:r>
        <w:rPr>
          <w:rFonts w:ascii="Times New Roman" w:hAnsi="Times New Roman"/>
          <w:sz w:val="24"/>
        </w:rPr>
        <w:t>Norādes par konkrētām slejām</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Sleja</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Atsauces uz tiesību aktu noteikumiem un norādījumi</w:t>
            </w:r>
          </w:p>
        </w:tc>
      </w:tr>
      <w:tr w:rsidR="00634B45" w:rsidRPr="00384ADB" w14:paraId="4775EE54" w14:textId="77777777" w:rsidTr="00975447">
        <w:tc>
          <w:tcPr>
            <w:tcW w:w="1418" w:type="dxa"/>
          </w:tcPr>
          <w:p w14:paraId="00723851" w14:textId="6409FA1F"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–070</w:t>
            </w:r>
            <w:r w:rsidR="00570CDB">
              <w:rPr>
                <w:rStyle w:val="FormatvorlageInstructionsTabelleText"/>
                <w:rFonts w:ascii="Times New Roman" w:hAnsi="Times New Roman"/>
                <w:b/>
                <w:sz w:val="24"/>
              </w:rPr>
              <w:t>.</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Darījuma partnera identifikācija:</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Iestādes norāda tā darījuma partnera identifikācijas datus, par kuru tiek sniegta informācija jebkurā veidnē no C 28.00 līdz C 29.00. Savstarpēji saistītu klientu grupas identifikācijas datus neuzrāda, ja vien valsts pārskatu sniegšanas sistēma nenodrošina unikālu kodu savstarpēji saistītu klientu grupai.</w:t>
            </w:r>
          </w:p>
          <w:p w14:paraId="4122366B" w14:textId="6A8CDE8B" w:rsidR="00B0191A" w:rsidRDefault="003A7A4B">
            <w:pPr>
              <w:pStyle w:val="InstructionsText"/>
            </w:pPr>
            <w:r>
              <w:t>Saskaņā ar KPR 394. panta 1. punkta trešo daļu iestādes norāda tā darījuma partnera identifikāciju, ar kuru tām ir riska darījumi, kuru vērtība ir lielāka par vai vienāda ar EUR 300 miljoniem, bet mazāka par 10 % no to pirmā līmeņa kapitāla.</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Saskaņā ar KPR 394. panta 1. punkta a) apakšpunktu iestādes norāda tā darījuma partnera identifikācijas datus, ar kuru tām ir lielie riska darījumi, kā definēts KPR 392. pantā.</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Saskaņā ar KPR 394. panta 2. punkta a) apakšpunktu iestādes norāda tā darījuma partnera identifikācijas datus, ar kuru tām ir lielākie riska darījumi, (gadījumos, kad darījuma partneris ir iestāde vai ēnu banku sistēmas struktūra).</w:t>
            </w:r>
          </w:p>
        </w:tc>
      </w:tr>
      <w:tr w:rsidR="00CA42A9" w:rsidRPr="00384ADB" w14:paraId="595B7E12" w14:textId="77777777" w:rsidTr="00975447">
        <w:trPr>
          <w:trHeight w:val="992"/>
        </w:trPr>
        <w:tc>
          <w:tcPr>
            <w:tcW w:w="1418" w:type="dxa"/>
          </w:tcPr>
          <w:p w14:paraId="1244EFCC" w14:textId="6DCD6554"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r w:rsidR="00570CDB">
              <w:rPr>
                <w:rStyle w:val="FormatvorlageInstructionsTabelleText"/>
                <w:rFonts w:ascii="Times New Roman" w:hAnsi="Times New Roman"/>
                <w:b/>
                <w:sz w:val="24"/>
              </w:rPr>
              <w:t>.</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Kods</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Kodam, kas ir daļa no rindu identifikatora, jābūt unikālam attiecībā uz katru uzrādīto sabiedrību. Iestādēm un apdrošināšanas sabiedrībām kods ir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kods. Citām sabiedrībām šis kods ir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kods vai, ja tas nav pieejams, valsts kods. Šis kods ir unikāls, un to izmanto konsekventi visās veidnēs un visos laikos. Kodam vienmēr ir kāda vērtība.</w:t>
            </w:r>
          </w:p>
        </w:tc>
      </w:tr>
      <w:tr w:rsidR="00634B45" w:rsidRPr="00384ADB" w14:paraId="7F3B0481" w14:textId="77777777" w:rsidTr="00975447">
        <w:trPr>
          <w:trHeight w:val="60"/>
        </w:trPr>
        <w:tc>
          <w:tcPr>
            <w:tcW w:w="1418" w:type="dxa"/>
          </w:tcPr>
          <w:p w14:paraId="2600632A" w14:textId="7BB54132"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r w:rsidR="00570CDB">
              <w:rPr>
                <w:rStyle w:val="FormatvorlageInstructionsTabelleText"/>
                <w:rFonts w:ascii="Times New Roman" w:hAnsi="Times New Roman"/>
                <w:b/>
                <w:sz w:val="24"/>
              </w:rPr>
              <w:t>.</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Koda veids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Iestādes identificē 010. slejā uzrādītā koda veidu kā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kods” vai “Kods, kas nav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kods”.</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Koda veids ir jāuzrāda vienmēr.</w:t>
            </w:r>
          </w:p>
        </w:tc>
      </w:tr>
      <w:tr w:rsidR="00965DED" w:rsidRPr="00384ADB" w14:paraId="5B9DB907" w14:textId="77777777" w:rsidTr="00975447">
        <w:tc>
          <w:tcPr>
            <w:tcW w:w="1418" w:type="dxa"/>
          </w:tcPr>
          <w:p w14:paraId="1628C120" w14:textId="73931AC4"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r w:rsidR="00570CDB">
              <w:rPr>
                <w:rStyle w:val="FormatvorlageInstructionsTabelleText"/>
                <w:rFonts w:ascii="Times New Roman" w:hAnsi="Times New Roman"/>
                <w:b/>
                <w:sz w:val="24"/>
              </w:rPr>
              <w:t>.</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Nosaukums</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Nosaukums atbilst grupas nosaukumam, ja pastāv savstarpēji saistītu klientu grupa. Visos pārējos gadījumos nosaukums atbilst atsevišķam darījuma partnerim.</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Savstarpēji saistītu klientu grupai norāda </w:t>
            </w:r>
            <w:proofErr w:type="spellStart"/>
            <w:r>
              <w:rPr>
                <w:rStyle w:val="FormatvorlageInstructionsTabelleText"/>
                <w:rFonts w:ascii="Times New Roman" w:hAnsi="Times New Roman"/>
                <w:sz w:val="24"/>
              </w:rPr>
              <w:t>mātesuzņēmuma</w:t>
            </w:r>
            <w:proofErr w:type="spellEnd"/>
            <w:r>
              <w:rPr>
                <w:rStyle w:val="FormatvorlageInstructionsTabelleText"/>
                <w:rFonts w:ascii="Times New Roman" w:hAnsi="Times New Roman"/>
                <w:sz w:val="24"/>
              </w:rPr>
              <w:t xml:space="preserve"> nosaukumu vai, ja savstarpēji saistītu klientu grupai nav </w:t>
            </w:r>
            <w:proofErr w:type="spellStart"/>
            <w:r>
              <w:rPr>
                <w:rStyle w:val="FormatvorlageInstructionsTabelleText"/>
                <w:rFonts w:ascii="Times New Roman" w:hAnsi="Times New Roman"/>
                <w:sz w:val="24"/>
              </w:rPr>
              <w:t>mātesuzņēmuma</w:t>
            </w:r>
            <w:proofErr w:type="spellEnd"/>
            <w:r>
              <w:rPr>
                <w:rStyle w:val="FormatvorlageInstructionsTabelleText"/>
                <w:rFonts w:ascii="Times New Roman" w:hAnsi="Times New Roman"/>
                <w:sz w:val="24"/>
              </w:rPr>
              <w:t>, tad grupas komerciālo nosaukumu.</w:t>
            </w:r>
          </w:p>
        </w:tc>
      </w:tr>
      <w:tr w:rsidR="00D03399" w:rsidRPr="00384ADB" w14:paraId="770D0A15" w14:textId="77777777" w:rsidTr="00975447">
        <w:tc>
          <w:tcPr>
            <w:tcW w:w="1418" w:type="dxa"/>
          </w:tcPr>
          <w:p w14:paraId="4800764C" w14:textId="6D76B7ED"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r w:rsidR="00570CDB">
              <w:rPr>
                <w:rStyle w:val="FormatvorlageInstructionsTabelleText"/>
                <w:rFonts w:ascii="Times New Roman" w:hAnsi="Times New Roman"/>
                <w:b/>
                <w:sz w:val="24"/>
              </w:rPr>
              <w:t>.</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Valsts kods</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Iestādes var papildus uzrādīt valsts kodu, ja tās kā identifikatoru slejā “Kods” norāda </w:t>
            </w:r>
            <w:r>
              <w:rPr>
                <w:rStyle w:val="InstructionsTabelleberschrift"/>
                <w:rFonts w:ascii="Times New Roman" w:hAnsi="Times New Roman"/>
                <w:b w:val="0"/>
                <w:i/>
                <w:iCs/>
                <w:sz w:val="24"/>
                <w:u w:val="none"/>
              </w:rPr>
              <w:t>LEI</w:t>
            </w:r>
            <w:r>
              <w:rPr>
                <w:rStyle w:val="InstructionsTabelleberschrift"/>
                <w:rFonts w:ascii="Times New Roman" w:hAnsi="Times New Roman"/>
                <w:b w:val="0"/>
                <w:sz w:val="24"/>
                <w:u w:val="none"/>
              </w:rPr>
              <w:t xml:space="preserve"> kodu.</w:t>
            </w:r>
          </w:p>
        </w:tc>
      </w:tr>
      <w:tr w:rsidR="00965DED" w:rsidRPr="00384ADB" w14:paraId="6F83C530" w14:textId="77777777" w:rsidTr="00975447">
        <w:tc>
          <w:tcPr>
            <w:tcW w:w="1418" w:type="dxa"/>
          </w:tcPr>
          <w:p w14:paraId="4CD02D70" w14:textId="7E7B007F"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r w:rsidR="00570CDB">
              <w:rPr>
                <w:rStyle w:val="FormatvorlageInstructionsTabelleText"/>
                <w:rFonts w:ascii="Times New Roman" w:hAnsi="Times New Roman"/>
                <w:b/>
                <w:sz w:val="24"/>
              </w:rPr>
              <w:t>.</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Darījuma partnera rezidences vieta</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Izmanto darījuma partnera inkorporācijas valsts </w:t>
            </w:r>
            <w:r>
              <w:rPr>
                <w:rStyle w:val="FormatvorlageInstructionsTabelleText"/>
                <w:rFonts w:ascii="Times New Roman" w:hAnsi="Times New Roman"/>
                <w:i/>
                <w:iCs/>
                <w:sz w:val="24"/>
              </w:rPr>
              <w:t>ISO</w:t>
            </w:r>
            <w:r>
              <w:rPr>
                <w:rStyle w:val="FormatvorlageInstructionsTabelleText"/>
                <w:rFonts w:ascii="Times New Roman" w:hAnsi="Times New Roman"/>
                <w:sz w:val="24"/>
              </w:rPr>
              <w:t xml:space="preserve"> kodu 3166-1-alpha-2 (tostarp starptautisko organizāciju </w:t>
            </w:r>
            <w:proofErr w:type="spellStart"/>
            <w:r>
              <w:rPr>
                <w:rStyle w:val="FormatvorlageInstructionsTabelleText"/>
                <w:rFonts w:ascii="Times New Roman" w:hAnsi="Times New Roman"/>
                <w:sz w:val="24"/>
              </w:rPr>
              <w:t>pseido</w:t>
            </w:r>
            <w:proofErr w:type="spellEnd"/>
            <w:r>
              <w:rPr>
                <w:rStyle w:val="FormatvorlageInstructionsTabelleText"/>
                <w:rFonts w:ascii="Times New Roman" w:hAnsi="Times New Roman"/>
                <w:sz w:val="24"/>
              </w:rPr>
              <w:t>-</w:t>
            </w:r>
            <w:r>
              <w:rPr>
                <w:rStyle w:val="FormatvorlageInstructionsTabelleText"/>
                <w:rFonts w:ascii="Times New Roman" w:hAnsi="Times New Roman"/>
                <w:i/>
                <w:iCs/>
                <w:sz w:val="24"/>
              </w:rPr>
              <w:t>ISO</w:t>
            </w:r>
            <w:r>
              <w:rPr>
                <w:rStyle w:val="FormatvorlageInstructionsTabelleText"/>
                <w:rFonts w:ascii="Times New Roman" w:hAnsi="Times New Roman"/>
                <w:sz w:val="24"/>
              </w:rPr>
              <w:t xml:space="preserve"> kodus, kas atrodami jaunākajā </w:t>
            </w:r>
            <w:proofErr w:type="spellStart"/>
            <w:r w:rsidRPr="0081153C">
              <w:rPr>
                <w:rStyle w:val="FormatvorlageInstructionsTabelleText"/>
                <w:rFonts w:ascii="Times New Roman" w:hAnsi="Times New Roman"/>
                <w:i/>
                <w:iCs/>
                <w:sz w:val="24"/>
              </w:rPr>
              <w:t>Eurostat</w:t>
            </w:r>
            <w:proofErr w:type="spellEnd"/>
            <w:r>
              <w:rPr>
                <w:rStyle w:val="FormatvorlageInstructionsTabelleText"/>
                <w:rFonts w:ascii="Times New Roman" w:hAnsi="Times New Roman"/>
                <w:sz w:val="24"/>
              </w:rPr>
              <w:t xml:space="preserve"> izdevumā “Maksājumu bilances </w:t>
            </w:r>
            <w:proofErr w:type="spellStart"/>
            <w:r>
              <w:rPr>
                <w:rStyle w:val="FormatvorlageInstructionsTabelleText"/>
                <w:rFonts w:ascii="Times New Roman" w:hAnsi="Times New Roman"/>
                <w:sz w:val="24"/>
              </w:rPr>
              <w:t>Vademecum</w:t>
            </w:r>
            <w:proofErr w:type="spellEnd"/>
            <w:r>
              <w:rPr>
                <w:rStyle w:val="FormatvorlageInstructionsTabelleText"/>
                <w:rFonts w:ascii="Times New Roman" w:hAnsi="Times New Roman"/>
                <w:sz w:val="24"/>
              </w:rPr>
              <w:t xml:space="preserve">”).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Savstarpēji saistītu klientu grupām rezidences vietu nenorāda. </w:t>
            </w:r>
          </w:p>
        </w:tc>
      </w:tr>
      <w:tr w:rsidR="00965DED" w:rsidRPr="00384ADB" w14:paraId="70B81623" w14:textId="77777777" w:rsidTr="00975447">
        <w:tc>
          <w:tcPr>
            <w:tcW w:w="1418" w:type="dxa"/>
          </w:tcPr>
          <w:p w14:paraId="2D30B993" w14:textId="4FCEFCA6"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r w:rsidR="00570CDB">
              <w:rPr>
                <w:rStyle w:val="FormatvorlageInstructionsTabelleText"/>
                <w:rFonts w:ascii="Times New Roman" w:hAnsi="Times New Roman"/>
                <w:b/>
                <w:sz w:val="24"/>
              </w:rPr>
              <w:t>.</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Darījuma partnera nozare</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Katram darījumu partnerim norāda vienu sektoru, pamatojoties uz FINREP V pielikuma 1. daļas 42. punktā minētajiem ekonomikas sektoriem, un finanšu sabiedrības iedalot ieguldījumu brokeru sabiedrībās un citās finanšu sabiedrībās šādi:</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centrālās bankas;</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vispārējās valdības;</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kredītiestādes;</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rPr>
                <w:rStyle w:val="FormatvorlageInstructionsTabelleText"/>
                <w:rFonts w:ascii="Times New Roman" w:hAnsi="Times New Roman"/>
                <w:sz w:val="24"/>
              </w:rPr>
              <w:tab/>
              <w:t>ieguldījumu brokeru sabiedrības, kā definēts KPR 4. panta 1. punkta 2. apakšpunktā;</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rPr>
                <w:rStyle w:val="FormatvorlageInstructionsTabelleText"/>
                <w:rFonts w:ascii="Times New Roman" w:hAnsi="Times New Roman"/>
                <w:sz w:val="24"/>
              </w:rPr>
              <w:tab/>
              <w:t>Citas finanšu sabiedrības (izņemot ieguldījumu brokeru sabiedrības);</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rPr>
                <w:rStyle w:val="FormatvorlageInstructionsTabelleText"/>
                <w:rFonts w:ascii="Times New Roman" w:hAnsi="Times New Roman"/>
                <w:sz w:val="24"/>
              </w:rPr>
              <w:tab/>
            </w:r>
            <w:proofErr w:type="spellStart"/>
            <w:r>
              <w:rPr>
                <w:rStyle w:val="FormatvorlageInstructionsTabelleText"/>
                <w:rFonts w:ascii="Times New Roman" w:hAnsi="Times New Roman"/>
                <w:sz w:val="24"/>
              </w:rPr>
              <w:t>nefinanšu</w:t>
            </w:r>
            <w:proofErr w:type="spellEnd"/>
            <w:r>
              <w:rPr>
                <w:rStyle w:val="FormatvorlageInstructionsTabelleText"/>
                <w:rFonts w:ascii="Times New Roman" w:hAnsi="Times New Roman"/>
                <w:sz w:val="24"/>
              </w:rPr>
              <w:t xml:space="preserve"> sabiedrības;</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rPr>
                <w:rStyle w:val="FormatvorlageInstructionsTabelleText"/>
                <w:rFonts w:ascii="Times New Roman" w:hAnsi="Times New Roman"/>
                <w:sz w:val="24"/>
              </w:rPr>
              <w:tab/>
              <w:t xml:space="preserve">mājsaimniecības.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Savstarpēji saistītu klientu grupām sektoru nenorāda.</w:t>
            </w:r>
          </w:p>
        </w:tc>
      </w:tr>
      <w:tr w:rsidR="00965DED" w:rsidRPr="00384ADB" w14:paraId="197C0AF1" w14:textId="77777777" w:rsidTr="00975447">
        <w:tc>
          <w:tcPr>
            <w:tcW w:w="1418" w:type="dxa"/>
          </w:tcPr>
          <w:p w14:paraId="61362E9B" w14:textId="52BF578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r w:rsidR="00570CDB">
              <w:rPr>
                <w:rStyle w:val="FormatvorlageInstructionsTabelleText"/>
                <w:rFonts w:ascii="Times New Roman" w:hAnsi="Times New Roman"/>
                <w:b/>
                <w:sz w:val="24"/>
              </w:rPr>
              <w:t>.</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i/>
                <w:iCs/>
                <w:sz w:val="24"/>
              </w:rPr>
              <w:t>NACE</w:t>
            </w:r>
            <w:r>
              <w:rPr>
                <w:rStyle w:val="InstructionsTabelleberschrift"/>
                <w:rFonts w:ascii="Times New Roman" w:hAnsi="Times New Roman"/>
                <w:sz w:val="24"/>
              </w:rPr>
              <w:t xml:space="preserve"> kods</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Ekonomikas nozarēm izmanto </w:t>
            </w:r>
            <w:r>
              <w:rPr>
                <w:rStyle w:val="FormatvorlageInstructionsTabelleText"/>
                <w:rFonts w:ascii="Times New Roman" w:hAnsi="Times New Roman"/>
                <w:i/>
                <w:iCs/>
                <w:sz w:val="24"/>
              </w:rPr>
              <w:t>NACE</w:t>
            </w:r>
            <w:r>
              <w:rPr>
                <w:rStyle w:val="FormatvorlageInstructionsTabelleText"/>
                <w:rFonts w:ascii="Times New Roman" w:hAnsi="Times New Roman"/>
                <w:sz w:val="24"/>
              </w:rPr>
              <w:t xml:space="preserve"> kodus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dans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l’Union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saimniecisko darbību statistiskā klasifikācija Eiropas Savienībā).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Šī sleja attiecas tikai uz darījumu partneriem “citas finanšu sabiedrības (izņemot ieguldījumu brokeru sabiedrības)” un “</w:t>
            </w:r>
            <w:proofErr w:type="spellStart"/>
            <w:r>
              <w:rPr>
                <w:rStyle w:val="FormatvorlageInstructionsTabelleText"/>
                <w:rFonts w:ascii="Times New Roman" w:hAnsi="Times New Roman"/>
                <w:sz w:val="24"/>
              </w:rPr>
              <w:t>nefinanšu</w:t>
            </w:r>
            <w:proofErr w:type="spellEnd"/>
            <w:r>
              <w:rPr>
                <w:rStyle w:val="FormatvorlageInstructionsTabelleText"/>
                <w:rFonts w:ascii="Times New Roman" w:hAnsi="Times New Roman"/>
                <w:sz w:val="24"/>
              </w:rPr>
              <w:t xml:space="preserve"> sabiedrības”. Attiecībā uz “</w:t>
            </w:r>
            <w:proofErr w:type="spellStart"/>
            <w:r>
              <w:rPr>
                <w:rStyle w:val="FormatvorlageInstructionsTabelleText"/>
                <w:rFonts w:ascii="Times New Roman" w:hAnsi="Times New Roman"/>
                <w:sz w:val="24"/>
              </w:rPr>
              <w:t>nefinanšu</w:t>
            </w:r>
            <w:proofErr w:type="spellEnd"/>
            <w:r>
              <w:rPr>
                <w:rStyle w:val="FormatvorlageInstructionsTabelleText"/>
                <w:rFonts w:ascii="Times New Roman" w:hAnsi="Times New Roman"/>
                <w:sz w:val="24"/>
              </w:rPr>
              <w:t xml:space="preserve"> sabiedrībām” izmanto </w:t>
            </w:r>
            <w:r>
              <w:rPr>
                <w:rStyle w:val="FormatvorlageInstructionsTabelleText"/>
                <w:rFonts w:ascii="Times New Roman" w:hAnsi="Times New Roman"/>
                <w:i/>
                <w:iCs/>
                <w:sz w:val="24"/>
              </w:rPr>
              <w:t>NACE</w:t>
            </w:r>
            <w:r>
              <w:rPr>
                <w:rStyle w:val="FormatvorlageInstructionsTabelleText"/>
                <w:rFonts w:ascii="Times New Roman" w:hAnsi="Times New Roman"/>
                <w:sz w:val="24"/>
              </w:rPr>
              <w:t xml:space="preserve"> kodus ar viena līmeņa detalizācijas pakāpi (piemēram, “F – būvniecība”) un attiecībā uz “citām finanšu sabiedrībām (izņemot ieguldījumu brokeru sabiedrības)” – ar divu līmeņu deta</w:t>
            </w:r>
            <w:r>
              <w:rPr>
                <w:rStyle w:val="FormatvorlageInstructionsTabelleText"/>
                <w:rFonts w:ascii="Times New Roman" w:hAnsi="Times New Roman"/>
                <w:sz w:val="24"/>
              </w:rPr>
              <w:lastRenderedPageBreak/>
              <w:t xml:space="preserve">lizācijas pakāpi, kas sniedz atsevišķu informāciju par apdrošināšanas darbībām (piemēram, “K65 – apdrošināšana, pārapdrošināšana un pensiju uzkrāšana, izņemot obligāto sociālo apdrošināšanu”).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“Citu finanšu sabiedrību (izņemot ieguldījumu brokeru sabiedrības)” un “</w:t>
            </w:r>
            <w:proofErr w:type="spellStart"/>
            <w:r>
              <w:rPr>
                <w:rStyle w:val="FormatvorlageInstructionsTabelleText"/>
                <w:rFonts w:ascii="Times New Roman" w:hAnsi="Times New Roman"/>
                <w:sz w:val="24"/>
              </w:rPr>
              <w:t>nefinanšu</w:t>
            </w:r>
            <w:proofErr w:type="spellEnd"/>
            <w:r>
              <w:rPr>
                <w:rStyle w:val="FormatvorlageInstructionsTabelleText"/>
                <w:rFonts w:ascii="Times New Roman" w:hAnsi="Times New Roman"/>
                <w:sz w:val="24"/>
              </w:rPr>
              <w:t xml:space="preserve"> sabiedrību” ekonomikas sektorus norāda, pamatojoties uz </w:t>
            </w:r>
            <w:r w:rsidRPr="00570CDB">
              <w:rPr>
                <w:rStyle w:val="FormatvorlageInstructionsTabelleText"/>
                <w:rFonts w:ascii="Times New Roman" w:hAnsi="Times New Roman"/>
                <w:i/>
                <w:iCs/>
                <w:sz w:val="24"/>
              </w:rPr>
              <w:t>FINREP</w:t>
            </w:r>
            <w:r>
              <w:rPr>
                <w:rStyle w:val="FormatvorlageInstructionsTabelleText"/>
                <w:rFonts w:ascii="Times New Roman" w:hAnsi="Times New Roman"/>
                <w:sz w:val="24"/>
              </w:rPr>
              <w:t xml:space="preserve"> darījumu partneru iedalījumu.</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Savstarpēji saistītu klientu grupām </w:t>
            </w:r>
            <w:r>
              <w:rPr>
                <w:rStyle w:val="FormatvorlageInstructionsTabelleText"/>
                <w:rFonts w:ascii="Times New Roman" w:hAnsi="Times New Roman"/>
                <w:i/>
                <w:iCs/>
                <w:sz w:val="24"/>
              </w:rPr>
              <w:t>NACE</w:t>
            </w:r>
            <w:r>
              <w:rPr>
                <w:rStyle w:val="FormatvorlageInstructionsTabelleText"/>
                <w:rFonts w:ascii="Times New Roman" w:hAnsi="Times New Roman"/>
                <w:sz w:val="24"/>
              </w:rPr>
              <w:t xml:space="preserve"> kodu nenorāda.</w:t>
            </w:r>
          </w:p>
        </w:tc>
      </w:tr>
      <w:tr w:rsidR="00965DED" w:rsidRPr="00384ADB" w14:paraId="23C39D61" w14:textId="77777777" w:rsidTr="00975447">
        <w:tc>
          <w:tcPr>
            <w:tcW w:w="1418" w:type="dxa"/>
          </w:tcPr>
          <w:p w14:paraId="46BC90D9" w14:textId="118DAD1D"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r w:rsidR="00570CDB">
              <w:rPr>
                <w:rStyle w:val="FormatvorlageInstructionsTabelleText"/>
                <w:rFonts w:ascii="Times New Roman" w:hAnsi="Times New Roman"/>
                <w:b/>
                <w:sz w:val="24"/>
              </w:rPr>
              <w:t>.</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Darījumu partnera veids </w:t>
            </w:r>
          </w:p>
          <w:p w14:paraId="3522A370" w14:textId="4BC97512" w:rsidR="00B0191A" w:rsidRPr="00384ADB" w:rsidRDefault="00965DED">
            <w:pPr>
              <w:pStyle w:val="InstructionsText"/>
              <w:rPr>
                <w:rFonts w:eastAsia="Arial"/>
              </w:rPr>
            </w:pPr>
            <w:r>
              <w:t xml:space="preserve">KPR 394. panta 2. punkts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Darījuma partnera veidu desmit lielākajiem riska darījumiem ar iestādēm un desmit lielākajiem riska darījumiem ar ēnu banku sistēmas struktūrām norāda, ierakstot “I” attiecībā uz iestādēm vai attiecīgi “S” attiecībā uz ēnu banku sistēmas struktūrām, kuras veic banku darbības ārpus regulētās sistēmas.</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8522795"/>
      <w:r>
        <w:rPr>
          <w:rFonts w:ascii="Times New Roman" w:hAnsi="Times New Roman"/>
          <w:b/>
          <w:sz w:val="24"/>
          <w:u w:val="none"/>
        </w:rPr>
        <w:t xml:space="preserve">C 28.00 - riska darījumi </w:t>
      </w:r>
      <w:proofErr w:type="spellStart"/>
      <w:r>
        <w:rPr>
          <w:rFonts w:ascii="Times New Roman" w:hAnsi="Times New Roman"/>
          <w:b/>
          <w:sz w:val="24"/>
          <w:u w:val="none"/>
        </w:rPr>
        <w:t>netirdzniecības</w:t>
      </w:r>
      <w:proofErr w:type="spellEnd"/>
      <w:r>
        <w:rPr>
          <w:rFonts w:ascii="Times New Roman" w:hAnsi="Times New Roman"/>
          <w:b/>
          <w:sz w:val="24"/>
          <w:u w:val="none"/>
        </w:rPr>
        <w:t xml:space="preserve"> portfelī un tirdzniecības portfelī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188522796"/>
      <w:bookmarkStart w:id="21" w:name="_Toc308175821"/>
      <w:bookmarkStart w:id="22" w:name="_Toc310414968"/>
      <w:r>
        <w:rPr>
          <w:rFonts w:ascii="Times New Roman" w:hAnsi="Times New Roman"/>
          <w:sz w:val="24"/>
        </w:rPr>
        <w:t>Norādes par konkrētām slejām</w:t>
      </w:r>
      <w:bookmarkEnd w:id="20"/>
      <w:r>
        <w:rPr>
          <w:rFonts w:ascii="Times New Roman" w:hAnsi="Times New Roman"/>
          <w:sz w:val="24"/>
        </w:rPr>
        <w:t xml:space="preserve"> </w:t>
      </w:r>
      <w:bookmarkEnd w:id="21"/>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Sleja</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Atsauces uz tiesību aktu noteikumiem un norādījumi</w:t>
            </w:r>
          </w:p>
        </w:tc>
      </w:tr>
      <w:tr w:rsidR="00D946DB" w:rsidRPr="00384ADB" w14:paraId="6C61A25D" w14:textId="77777777" w:rsidTr="00E351A5">
        <w:tc>
          <w:tcPr>
            <w:tcW w:w="1418" w:type="dxa"/>
          </w:tcPr>
          <w:p w14:paraId="517DC33A" w14:textId="0336E790"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r w:rsidR="00570CDB">
              <w:rPr>
                <w:rStyle w:val="FormatvorlageInstructionsTabelleText"/>
                <w:rFonts w:ascii="Times New Roman" w:hAnsi="Times New Roman"/>
                <w:b/>
                <w:sz w:val="24"/>
              </w:rPr>
              <w:t>.</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Kods</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Savstarpēji saistītu klientu grupai, ja valsts līmenī ir pieejams unikāls kods, šo kodu uzrāda kā savstarpēji saistītu klientu grupas kodu. Ja valsts līmenī nav unikāla koda, uzrāda C 27.00 minēto </w:t>
            </w:r>
            <w:proofErr w:type="spellStart"/>
            <w:r>
              <w:rPr>
                <w:rStyle w:val="FormatvorlageInstructionsTabelleText"/>
                <w:rFonts w:ascii="Times New Roman" w:hAnsi="Times New Roman"/>
                <w:sz w:val="24"/>
              </w:rPr>
              <w:t>mātesuzņēmuma</w:t>
            </w:r>
            <w:proofErr w:type="spellEnd"/>
            <w:r>
              <w:rPr>
                <w:rStyle w:val="FormatvorlageInstructionsTabelleText"/>
                <w:rFonts w:ascii="Times New Roman" w:hAnsi="Times New Roman"/>
                <w:sz w:val="24"/>
              </w:rPr>
              <w:t xml:space="preserve"> kodu.</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Gadījumos, kad savstarpēji saistītu klientu grupai nav </w:t>
            </w:r>
            <w:proofErr w:type="spellStart"/>
            <w:r>
              <w:rPr>
                <w:rStyle w:val="FormatvorlageInstructionsTabelleText"/>
                <w:rFonts w:ascii="Times New Roman" w:hAnsi="Times New Roman"/>
                <w:sz w:val="24"/>
              </w:rPr>
              <w:t>mātesuzņēmuma</w:t>
            </w:r>
            <w:proofErr w:type="spellEnd"/>
            <w:r>
              <w:rPr>
                <w:rStyle w:val="FormatvorlageInstructionsTabelleText"/>
                <w:rFonts w:ascii="Times New Roman" w:hAnsi="Times New Roman"/>
                <w:sz w:val="24"/>
              </w:rPr>
              <w:t>, tad norādāmais kods ir tās atsevišķās struktūras kods, kuru iestāde uzskata par svarīgāko savstarpēji saistītu klientu grupā. Visos pārējos gadījumos kods atbilst atsevišķam darījuma partnerim.</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Šos kodus laika gaitā izmanto vienotā veidā.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Koda uzbūve ir atkarīga no valsts pārskatu sniegšanas sistēmas, ja vien ES nav vienotas kodifikācijas sistēmas.</w:t>
            </w:r>
          </w:p>
        </w:tc>
      </w:tr>
      <w:tr w:rsidR="00BB3751" w:rsidRPr="00384ADB" w14:paraId="4A64A684" w14:textId="77777777" w:rsidTr="00E351A5">
        <w:tc>
          <w:tcPr>
            <w:tcW w:w="1418" w:type="dxa"/>
          </w:tcPr>
          <w:p w14:paraId="789EB933" w14:textId="6C5E315D"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r w:rsidR="00570CDB">
              <w:rPr>
                <w:rStyle w:val="FormatvorlageInstructionsTabelleText"/>
                <w:rFonts w:ascii="Times New Roman" w:hAnsi="Times New Roman"/>
                <w:b/>
                <w:sz w:val="24"/>
              </w:rPr>
              <w:t>.</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Grupa vai atsevišķs klients</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Iestāde norāda “1”, sniedzot pārskatu par riska darījumiem ar atsevišķiem klientiem, vai “2” – par riska darījumiem ar savstarpēji saistītu klientu grupām.</w:t>
            </w:r>
          </w:p>
        </w:tc>
      </w:tr>
      <w:tr w:rsidR="00BB3751" w:rsidRPr="00384ADB" w14:paraId="77B12BAD" w14:textId="77777777" w:rsidTr="00E351A5">
        <w:tc>
          <w:tcPr>
            <w:tcW w:w="1418" w:type="dxa"/>
          </w:tcPr>
          <w:p w14:paraId="125503BA" w14:textId="7498A383"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r w:rsidR="00570CDB">
              <w:rPr>
                <w:rStyle w:val="FormatvorlageInstructionsTabelleText"/>
                <w:rFonts w:ascii="Times New Roman" w:hAnsi="Times New Roman"/>
                <w:b/>
                <w:sz w:val="24"/>
              </w:rPr>
              <w:t>.</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Darījumi, kuros ir riska darījums attiecībā uz pamatā esošajiem aktīviem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390. panta 7. punkts</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Saskaņā ar valstu kompetento iestāžu sīkākām tehniskajām specifikācijām, ja iestādei ir riska darījumi ar norādīto darījumu partneri, veicot darījumu, kurā ir riska pozīcija attiecībā uz pamatā esošajiem aktīviem, tad norāda “Jā” ekvivalentu; pretējā gadījumā norāda „Nē” ekvivalentu.</w:t>
            </w:r>
          </w:p>
        </w:tc>
      </w:tr>
      <w:tr w:rsidR="00BB3751" w:rsidRPr="00384ADB" w14:paraId="14C26E1F" w14:textId="77777777" w:rsidTr="00E351A5">
        <w:tc>
          <w:tcPr>
            <w:tcW w:w="1418" w:type="dxa"/>
          </w:tcPr>
          <w:p w14:paraId="62E5812F" w14:textId="24F88E11"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–180</w:t>
            </w:r>
            <w:r w:rsidR="00570CDB">
              <w:rPr>
                <w:rStyle w:val="FormatvorlageInstructionsTabelleText"/>
                <w:rFonts w:ascii="Times New Roman" w:hAnsi="Times New Roman"/>
                <w:b/>
                <w:sz w:val="24"/>
              </w:rPr>
              <w:t>.</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Sākotnējās riska darījumu vērtības</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t>KPR 24., 389., 390. un 392. pants</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Iestāde šajā sleju blokā norāda sākotnējās riska darījumu vērtības tiešajiem riska darījumiem, netiešajiem riska darījumiem un papildu riska darījumiem, kas izriet no darījumiem, kuros ir riska darījums ar pamatā esošajiem aktīviem.</w:t>
            </w:r>
          </w:p>
          <w:p w14:paraId="5AC53BEE" w14:textId="08BE159D" w:rsidR="00B0191A" w:rsidRPr="0039317F" w:rsidRDefault="00BB3751">
            <w:pPr>
              <w:pStyle w:val="InstructionsText"/>
            </w:pPr>
            <w:r>
              <w:t xml:space="preserve">Saskaņā ar KPR 389. pantu aktīviem un ārpusbilances posteņiem nepiemēro riska svērumus un riska līmeņus. Konkrēti, ārpusbilances posteņiem nepiemēro kredītu korekcijas pakāpes.  </w:t>
            </w:r>
          </w:p>
          <w:p w14:paraId="17E569B0" w14:textId="77777777" w:rsidR="00B0191A" w:rsidRPr="0039317F" w:rsidRDefault="00BB3751">
            <w:pPr>
              <w:pStyle w:val="InstructionsText"/>
            </w:pPr>
            <w:r>
              <w:t>Šajās slejās norāda sākotnējo riska darījuma vērtību, t. i., riska darījuma vērtību, neņemot vērā vērtības korekcijas un uzkrājumus, kurus atskaita slejā 210.</w:t>
            </w:r>
          </w:p>
          <w:p w14:paraId="397949C7" w14:textId="23DDEC15" w:rsidR="00B0191A" w:rsidRPr="0039317F" w:rsidRDefault="00C92E09">
            <w:pPr>
              <w:pStyle w:val="InstructionsText"/>
            </w:pPr>
            <w:r>
              <w:t>Riska darījuma vērtības definīcija un aprēķināšanas metode ir sniegta KPR 389. un 390. pantā. Aktīvu un ārpusbilances posteņu novērtējumu veic saskaņā ar iestādei piemērojamo grāmatvedības regulējumu atbilstīgi KPR 24. pantam.</w:t>
            </w:r>
          </w:p>
          <w:p w14:paraId="71173893" w14:textId="18C285D4" w:rsidR="00B0191A" w:rsidRPr="0039317F" w:rsidRDefault="00BB3751">
            <w:pPr>
              <w:pStyle w:val="InstructionsText"/>
            </w:pPr>
            <w:r>
              <w:t>Šajās slejās iekļauj no pirmā līmeņa pamata kapitāla posteņiem vai pirmā līmeņa papildu kapitāla posteņiem atskaitītos riska darījumus, kas nav riska darījumi, kuri minēti 390. panta 6. punkta e) apakšpunktā. Šos riska darījumus atskaita slejā 200.</w:t>
            </w:r>
          </w:p>
          <w:p w14:paraId="22E24408" w14:textId="07366094" w:rsidR="00B0191A" w:rsidRPr="0039317F" w:rsidRDefault="00BB3751">
            <w:pPr>
              <w:pStyle w:val="InstructionsText"/>
            </w:pPr>
            <w:r>
              <w:t xml:space="preserve">KPR 390. panta 6. punkta a) līdz d) apakšpunktā minētos riska darījumus neiekļauj šajās slejās. </w:t>
            </w:r>
          </w:p>
          <w:p w14:paraId="3096B4AE" w14:textId="0C8FCDBE" w:rsidR="00B0191A" w:rsidRPr="0039317F" w:rsidRDefault="00BB3751">
            <w:pPr>
              <w:pStyle w:val="InstructionsText"/>
              <w:rPr>
                <w:rFonts w:eastAsia="Arial"/>
              </w:rPr>
            </w:pPr>
            <w:r>
              <w:t>Sākotnējās riska darījumu vērtībās ietver aktīvu un ārpusbilances posteņus. KPR 400. pantā paredzētos atbrīvojumus KPR 395. panta 1. punkta nolūkā atskaita 320. slejā.</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Iekļauj gan </w:t>
            </w:r>
            <w:proofErr w:type="spellStart"/>
            <w:r>
              <w:rPr>
                <w:rStyle w:val="InstructionsTabelleberschrift"/>
                <w:rFonts w:ascii="Times New Roman" w:hAnsi="Times New Roman"/>
                <w:b w:val="0"/>
                <w:sz w:val="24"/>
                <w:u w:val="none"/>
              </w:rPr>
              <w:t>netirdzniecības</w:t>
            </w:r>
            <w:proofErr w:type="spellEnd"/>
            <w:r>
              <w:rPr>
                <w:rStyle w:val="InstructionsTabelleberschrift"/>
                <w:rFonts w:ascii="Times New Roman" w:hAnsi="Times New Roman"/>
                <w:b w:val="0"/>
                <w:sz w:val="24"/>
                <w:u w:val="none"/>
              </w:rPr>
              <w:t>, gan tirdzniecības portfeļa riska darījumus.</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Neto pozīciju, kas aprēķināta saskaņā ar KPR 390. panta 3. punkta b) apakšpunktu, uzrāda kā tiešo riska pozīciju un iekļauj slejā (060, 070 vai 080), kas atbilst dominējošajam instrumenta veidam.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Dominējošo instrumentu nosaka, pamatojoties uz neto pozīcijas vērtību katram instrumenta veidam.</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 sadalītu riska darījumus ar finanšu instrumentiem – ja dažādi riska darījumi, kas izriet no savstarpējo prasījumu ieskaita līgumiem, veido vienu riska darījumu, tad šo riska darījumu iedala pie finanšu instrumenta, kas atbilst galvenajam aktīvam, kas iekļauts savstarpējo prasījumu ieskaita līgumā (papildus skatīt ievaddaļu).</w:t>
            </w:r>
          </w:p>
        </w:tc>
      </w:tr>
      <w:tr w:rsidR="00BB3751" w:rsidRPr="00384ADB" w14:paraId="25B2DAB8" w14:textId="77777777" w:rsidTr="00E351A5">
        <w:tc>
          <w:tcPr>
            <w:tcW w:w="1418" w:type="dxa"/>
          </w:tcPr>
          <w:p w14:paraId="0207526A" w14:textId="6E6EEBE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r w:rsidR="00570CDB">
              <w:rPr>
                <w:rStyle w:val="FormatvorlageInstructionsTabelleText"/>
                <w:rFonts w:ascii="Times New Roman" w:hAnsi="Times New Roman"/>
                <w:b/>
                <w:sz w:val="24"/>
              </w:rPr>
              <w:t>.</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Kopā sākotnējie riska darījumi</w:t>
            </w:r>
          </w:p>
          <w:p w14:paraId="6F58333F" w14:textId="13E14BE1" w:rsidR="00B0191A" w:rsidRPr="00384ADB" w:rsidRDefault="00BB3751">
            <w:pPr>
              <w:pStyle w:val="InstructionsText"/>
              <w:rPr>
                <w:rStyle w:val="FormatvorlageInstructionsTabelleText"/>
                <w:rFonts w:ascii="Times New Roman" w:hAnsi="Times New Roman"/>
                <w:b/>
                <w:sz w:val="24"/>
              </w:rPr>
            </w:pPr>
            <w:r>
              <w:t>Iestāde norāda tiešo riska darījumu un netiešo riska darījumu, kā arī papildu riska darījumu, kas izriet no darījumiem, kuros ir riska darījums ar pamatā esošajiem aktīviem, vērtību summu.</w:t>
            </w:r>
          </w:p>
        </w:tc>
      </w:tr>
      <w:tr w:rsidR="00BB3751" w:rsidRPr="00384ADB" w14:paraId="190168F5" w14:textId="77777777" w:rsidTr="00E351A5">
        <w:tc>
          <w:tcPr>
            <w:tcW w:w="1418" w:type="dxa"/>
          </w:tcPr>
          <w:p w14:paraId="597D8ECC" w14:textId="305CF2EE"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r w:rsidR="00570CDB">
              <w:rPr>
                <w:rStyle w:val="FormatvorlageInstructionsTabelleText"/>
                <w:rFonts w:ascii="Times New Roman" w:hAnsi="Times New Roman"/>
                <w:b/>
                <w:sz w:val="24"/>
              </w:rPr>
              <w:t>.</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ar saistību neizpildi</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178. pants</w:t>
            </w:r>
          </w:p>
          <w:p w14:paraId="71C47675" w14:textId="7AE29748" w:rsidR="00B0191A" w:rsidRPr="00384ADB" w:rsidRDefault="009B2EE9">
            <w:pPr>
              <w:pStyle w:val="InstructionsText"/>
              <w:rPr>
                <w:rStyle w:val="FormatvorlageInstructionsTabelleText"/>
                <w:rFonts w:ascii="Times New Roman" w:hAnsi="Times New Roman"/>
                <w:b/>
                <w:sz w:val="24"/>
              </w:rPr>
            </w:pPr>
            <w:r>
              <w:t>Iestāde norāda to sākotnējo riska darījumu vērtību kopsummas daļu, kas atbilst riska darījumiem, kuros netiek pildītas saistības.</w:t>
            </w:r>
          </w:p>
        </w:tc>
      </w:tr>
      <w:tr w:rsidR="00BB3751" w:rsidRPr="00384ADB" w14:paraId="0D46E777" w14:textId="77777777" w:rsidTr="00E351A5">
        <w:tc>
          <w:tcPr>
            <w:tcW w:w="1418" w:type="dxa"/>
          </w:tcPr>
          <w:p w14:paraId="66243B9E" w14:textId="5572CBF4"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–110</w:t>
            </w:r>
            <w:r w:rsidR="00570CDB">
              <w:rPr>
                <w:rStyle w:val="FormatvorlageInstructionsTabelleText"/>
                <w:rFonts w:ascii="Times New Roman" w:hAnsi="Times New Roman"/>
                <w:b/>
                <w:sz w:val="24"/>
              </w:rPr>
              <w:t>.</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Tiešie riska darījumi</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Tiešie riska darījumi ir riska darījumi ar “tiešo aizņēmēju”.</w:t>
            </w:r>
          </w:p>
        </w:tc>
      </w:tr>
      <w:tr w:rsidR="00BB3751" w:rsidRPr="00384ADB" w14:paraId="2F218D32" w14:textId="77777777" w:rsidTr="00E351A5">
        <w:tc>
          <w:tcPr>
            <w:tcW w:w="1418" w:type="dxa"/>
          </w:tcPr>
          <w:p w14:paraId="742A7919" w14:textId="300733A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r w:rsidR="00570CDB">
              <w:rPr>
                <w:rStyle w:val="FormatvorlageInstructionsTabelleText"/>
                <w:rFonts w:ascii="Times New Roman" w:hAnsi="Times New Roman"/>
                <w:b/>
                <w:sz w:val="24"/>
              </w:rPr>
              <w:t>.</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Parāda instrumenti</w:t>
            </w:r>
          </w:p>
          <w:p w14:paraId="0D12347B" w14:textId="67C87B7B" w:rsidR="00B0191A" w:rsidRPr="0039317F" w:rsidRDefault="00193DDC">
            <w:pPr>
              <w:pStyle w:val="InstructionsText"/>
            </w:pPr>
            <w:r>
              <w:t>Regulas (EK) Nr. 1071/2013 (“ECB/2013/33”) II pielikuma 2. daļas tabula, 2. un 3. kategorija.</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Parāda instrumenti ietver parāda vērtspapīrus, aizdevumus un avansus. </w:t>
            </w:r>
          </w:p>
          <w:p w14:paraId="43956302" w14:textId="1136151F" w:rsidR="00B0191A" w:rsidRPr="0039317F" w:rsidRDefault="00BB3751">
            <w:pPr>
              <w:pStyle w:val="InstructionsText"/>
              <w:rPr>
                <w:rStyle w:val="FormatvorlageInstructionsTabelleText"/>
                <w:rFonts w:ascii="Times New Roman" w:hAnsi="Times New Roman"/>
                <w:sz w:val="24"/>
              </w:rPr>
            </w:pPr>
            <w:r>
              <w:t>Šajā slejā iekļautie instrumenti ir tie, kas atzīti par “aizdevumiem ar sākotnējo termiņu līdz vienam gadam ieskaitot/ilgāku par vienu gadu un līdz pieciem gadiem ieskaitot/ilgāku par pieciem gadiem” vai par “vērtspapīriem, kas nav akcijas” saskaņā ar ECB/2013/33.</w:t>
            </w:r>
          </w:p>
          <w:p w14:paraId="1B8742FC" w14:textId="62D50E44" w:rsidR="00B0191A" w:rsidRPr="00384ADB" w:rsidRDefault="00D95A62">
            <w:pPr>
              <w:pStyle w:val="InstructionsText"/>
              <w:rPr>
                <w:rStyle w:val="FormatvorlageInstructionsTabelleText"/>
                <w:rFonts w:ascii="Times New Roman" w:hAnsi="Times New Roman"/>
                <w:b/>
                <w:sz w:val="24"/>
              </w:rPr>
            </w:pPr>
            <w:r>
              <w:t xml:space="preserve">Šajā slejā iekļauj </w:t>
            </w:r>
            <w:proofErr w:type="spellStart"/>
            <w:r>
              <w:t>repo</w:t>
            </w:r>
            <w:proofErr w:type="spellEnd"/>
            <w:r>
              <w:t xml:space="preserve"> darījumus, vērtspapīru vai preču aizdevuma vai aizņēmuma darījumus (vērtspapīru finansēšanas darījumus) un </w:t>
            </w:r>
            <w:proofErr w:type="spellStart"/>
            <w:r>
              <w:t>maržinālo</w:t>
            </w:r>
            <w:proofErr w:type="spellEnd"/>
            <w:r>
              <w:t xml:space="preserve"> aizdevumu darījumus.</w:t>
            </w:r>
          </w:p>
        </w:tc>
      </w:tr>
      <w:tr w:rsidR="00BB3751" w:rsidRPr="00384ADB" w14:paraId="738440F6" w14:textId="77777777" w:rsidTr="00E351A5">
        <w:tc>
          <w:tcPr>
            <w:tcW w:w="1418" w:type="dxa"/>
          </w:tcPr>
          <w:p w14:paraId="3532943A" w14:textId="1F5613C5"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70</w:t>
            </w:r>
            <w:r w:rsidR="00570CDB">
              <w:rPr>
                <w:rStyle w:val="FormatvorlageInstructionsTabelleText"/>
                <w:rFonts w:ascii="Times New Roman" w:hAnsi="Times New Roman"/>
                <w:b/>
                <w:sz w:val="24"/>
              </w:rPr>
              <w:t>.</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kapitāla instrumenti</w:t>
            </w:r>
          </w:p>
          <w:p w14:paraId="3C984462" w14:textId="61E69BD9" w:rsidR="00B0191A" w:rsidRPr="0039317F" w:rsidRDefault="00DF008D">
            <w:pPr>
              <w:pStyle w:val="InstructionsText"/>
            </w:pPr>
            <w:r>
              <w:t>Regulas ECB/2013/33 II pielikuma 2. daļas tabula, 4. un 5. kategorija.</w:t>
            </w:r>
          </w:p>
          <w:p w14:paraId="419B07BA" w14:textId="7CD79157" w:rsidR="00B0191A" w:rsidRPr="00384ADB" w:rsidRDefault="00BB3751">
            <w:pPr>
              <w:pStyle w:val="InstructionsText"/>
              <w:rPr>
                <w:rStyle w:val="FormatvorlageInstructionsTabelleText"/>
                <w:rFonts w:ascii="Times New Roman" w:hAnsi="Times New Roman"/>
                <w:b/>
                <w:sz w:val="24"/>
              </w:rPr>
            </w:pPr>
            <w:r>
              <w:t>Šajā slejā iekļautie instrumenti ir tie, kas atzīti par “Pašu kapitālu” vai “Ieguldījumu fondu akcijām/daļām” saskaņā ar ECB Regulu par monetāro finanšu iestāžu nozares bilanci (ECB/2013/33).</w:t>
            </w:r>
          </w:p>
        </w:tc>
      </w:tr>
      <w:tr w:rsidR="00BB3751" w:rsidRPr="00384ADB" w14:paraId="631A86ED" w14:textId="77777777" w:rsidTr="00E351A5">
        <w:tc>
          <w:tcPr>
            <w:tcW w:w="1418" w:type="dxa"/>
          </w:tcPr>
          <w:p w14:paraId="33BD07C4" w14:textId="44412E94"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r w:rsidR="00570CDB">
              <w:rPr>
                <w:rStyle w:val="FormatvorlageInstructionsTabelleText"/>
                <w:rFonts w:ascii="Times New Roman" w:hAnsi="Times New Roman"/>
                <w:b/>
                <w:sz w:val="24"/>
              </w:rPr>
              <w:t>.</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Atvasināti instrumenti </w:t>
            </w:r>
          </w:p>
          <w:p w14:paraId="17102042" w14:textId="51CDA1FC" w:rsidR="00B0191A" w:rsidRPr="0039317F" w:rsidRDefault="00BB3751">
            <w:pPr>
              <w:pStyle w:val="InstructionsText"/>
            </w:pPr>
            <w:r>
              <w:t>KPR 272. panta 2. punkts un II pielikums.</w:t>
            </w:r>
          </w:p>
          <w:p w14:paraId="342DBEF7" w14:textId="2BF427FB" w:rsidR="00B0191A" w:rsidRPr="0039317F" w:rsidRDefault="009E58B0">
            <w:pPr>
              <w:pStyle w:val="InstructionsText"/>
            </w:pPr>
            <w:r>
              <w:t>Instrumenti, kurus norāda šajā slejā, ietver KPR II pielikumā norādītos atvasinātos instrumentus un ilgstošu norēķinu darījumus, kā definēts KPR 272. panta 2. punktā.</w:t>
            </w:r>
          </w:p>
          <w:p w14:paraId="5DE2DBE3" w14:textId="50AE93A3" w:rsidR="00B0191A" w:rsidRPr="00384ADB" w:rsidRDefault="00BB3751">
            <w:pPr>
              <w:pStyle w:val="InstructionsText"/>
              <w:rPr>
                <w:rStyle w:val="FormatvorlageInstructionsTabelleText"/>
                <w:rFonts w:ascii="Times New Roman" w:hAnsi="Times New Roman"/>
                <w:sz w:val="24"/>
              </w:rPr>
            </w:pPr>
            <w:r>
              <w:t>Kredītu atvasinātos instrumentus, kas pakļauti darījuma partnera kredītriskam, norāda šajā slejā.</w:t>
            </w:r>
          </w:p>
        </w:tc>
      </w:tr>
      <w:tr w:rsidR="00BB3751" w:rsidRPr="00384ADB" w14:paraId="0C1C5157" w14:textId="77777777" w:rsidTr="00E351A5">
        <w:tc>
          <w:tcPr>
            <w:tcW w:w="1418" w:type="dxa"/>
          </w:tcPr>
          <w:p w14:paraId="0BB72EC8" w14:textId="3230134D"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–110</w:t>
            </w:r>
            <w:r w:rsidR="00570CDB">
              <w:rPr>
                <w:rStyle w:val="FormatvorlageInstructionsTabelleText"/>
                <w:rFonts w:ascii="Times New Roman" w:hAnsi="Times New Roman"/>
                <w:b/>
                <w:sz w:val="24"/>
              </w:rPr>
              <w:t>.</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Ārpusbilances posteņi</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KPR I pielikums</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Vērtība, kuru norāda šajās slejās, ir nominālā vērtība, pirms ir piemērotas jebkādas specifiskās kredītriska korekcijas, un nepiemērojot korekcijas pakāpes.</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9613B2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r w:rsidR="00570CDB">
              <w:rPr>
                <w:rStyle w:val="FormatvorlageInstructionsTabelleText"/>
                <w:rFonts w:ascii="Times New Roman" w:hAnsi="Times New Roman"/>
                <w:b/>
                <w:sz w:val="24"/>
              </w:rPr>
              <w:t>.</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Aizdevumu saistības</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I pielikuma 1. punkta c) un h) apakšpunkts, 2. punkta b) apakšpunkta ii) punkts, 3. panta b) apakšpunkta i) punkts un 4. punkta a) apakšpunkts. </w:t>
            </w:r>
          </w:p>
          <w:p w14:paraId="55D0FD19" w14:textId="16139D2E" w:rsidR="00B0191A" w:rsidRPr="00384ADB" w:rsidRDefault="00BB3751">
            <w:pPr>
              <w:pStyle w:val="InstructionsText"/>
              <w:rPr>
                <w:rStyle w:val="FormatvorlageInstructionsTabelleText"/>
                <w:rFonts w:ascii="Times New Roman" w:hAnsi="Times New Roman"/>
                <w:sz w:val="24"/>
              </w:rPr>
            </w:pPr>
            <w:r>
              <w:t>Aizdevuma piešķiršanas saistības ir saistošas apņemšanās izsniegt kredītu saskaņā ar iepriekš definētiem noteikumiem un nosacījumiem, izņemot tos, kas ir atvasināti instrumenti, jo par tiem var norēķināties neto ar naudu vai piegādājot vai emitējot citu finanšu instrumentu.</w:t>
            </w:r>
          </w:p>
        </w:tc>
      </w:tr>
      <w:tr w:rsidR="00BB3751" w:rsidRPr="00384ADB" w14:paraId="60BAF59E" w14:textId="77777777" w:rsidTr="00E351A5">
        <w:tc>
          <w:tcPr>
            <w:tcW w:w="1418" w:type="dxa"/>
          </w:tcPr>
          <w:p w14:paraId="59AC1E1B" w14:textId="22271A44"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r w:rsidR="00570CDB">
              <w:rPr>
                <w:rStyle w:val="FormatvorlageInstructionsTabelleText"/>
                <w:rFonts w:ascii="Times New Roman" w:hAnsi="Times New Roman"/>
                <w:b/>
                <w:sz w:val="24"/>
              </w:rPr>
              <w:t>.</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Finanšu garantijas</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I pielikuma 1. punkta a), b) un f) apakšpunkts.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“Finanšu garantijas” ir līgumi, kas uzliek saistības to slēdzējam veikt noteiktus maksājumus garantijas turētājam, lai atlīdzinātu zaudējumus, kas radušies, jo norādītais debitors nav laikus veicis maksājumu saskaņā ar parāda instrumenta sākotnējiem vai grozītajiem noteikumiem. Šajā slejā norāda kredītu atvasinātos instrumentus, kas nav iekļauti slejā “atvasinātie instrumenti”.</w:t>
            </w:r>
          </w:p>
        </w:tc>
      </w:tr>
      <w:tr w:rsidR="00BB3751" w:rsidRPr="00384ADB" w14:paraId="05772871" w14:textId="77777777" w:rsidTr="00E351A5">
        <w:tc>
          <w:tcPr>
            <w:tcW w:w="1418" w:type="dxa"/>
          </w:tcPr>
          <w:p w14:paraId="7F6D96D8" w14:textId="5127671D"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110</w:t>
            </w:r>
            <w:r w:rsidR="00570CDB">
              <w:rPr>
                <w:rStyle w:val="FormatvorlageInstructionsTabelleText"/>
                <w:rFonts w:ascii="Times New Roman" w:hAnsi="Times New Roman"/>
                <w:b/>
                <w:sz w:val="24"/>
              </w:rPr>
              <w:t>.</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Citas saistības</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 xml:space="preserve">Citas saistības ir KPR I pielikumā norādītie posteņi, kas nav ietverti iepriekšējās kategorijās. </w:t>
            </w:r>
            <w:r>
              <w:rPr>
                <w:rFonts w:ascii="Times New Roman" w:hAnsi="Times New Roman"/>
                <w:sz w:val="24"/>
              </w:rPr>
              <w:t>Šajā slejā norāda vienas juridiskās saistības, kas izriet no dažādu produktu savstarpējo prasījumu līgumiska ieskaita līguma ar pārskata sniedzējas iestādes darījuma partneri, riska darījuma vērtību.</w:t>
            </w:r>
          </w:p>
        </w:tc>
      </w:tr>
      <w:tr w:rsidR="00BB3751" w:rsidRPr="00384ADB" w14:paraId="5D42E5C8" w14:textId="77777777" w:rsidTr="00E351A5">
        <w:tc>
          <w:tcPr>
            <w:tcW w:w="1418" w:type="dxa"/>
          </w:tcPr>
          <w:p w14:paraId="47571BB1" w14:textId="3BDF2D84"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–170</w:t>
            </w:r>
            <w:r w:rsidR="00570CDB">
              <w:rPr>
                <w:rStyle w:val="FormatvorlageInstructionsTabelleText"/>
                <w:rFonts w:ascii="Times New Roman" w:hAnsi="Times New Roman"/>
                <w:b/>
                <w:sz w:val="24"/>
              </w:rPr>
              <w:t>.</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Netiešie riska darījumi</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KPR 403. pants</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t>Saskaņā ar KPR 403. pantu kredītiestāde izmanto aizstāšanas pieeju, ja riska darījumu ar klientu garantē trešā persona vai ja tas ir nodrošināts ar trešās personas emitētu nodrošinājumu.</w:t>
            </w:r>
            <w:r>
              <w:rPr>
                <w:rStyle w:val="InstructionsTabelleberschrift"/>
                <w:rFonts w:ascii="Times New Roman" w:hAnsi="Times New Roman"/>
                <w:b w:val="0"/>
                <w:sz w:val="24"/>
                <w:u w:val="none"/>
              </w:rPr>
              <w:t xml:space="preserve">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 šajā sleju blokā norāda tiešo riska darījumu vērtību summas, kas ir pārdalītas garantijas devējam vai nodrošinājuma emitentam, ja nodrošinājuma emitentam tiktu piemērots vienāds vai zemāks riska svērums nekā riska svērums, kas klientam tiktu piemērots saskaņā ar KPR trešās daļas II sadaļas 2. nodaļu. Attiecībā uz riska darījumiem, kas nodrošināti ar trešās personas emitētu nodrošinājumu, KPR 403. panta 3. punktā ir paredzēta alternatīva procedūra.</w:t>
            </w:r>
          </w:p>
          <w:p w14:paraId="566B971F" w14:textId="16560033" w:rsidR="00687932" w:rsidRDefault="00BB3751">
            <w:pPr>
              <w:pStyle w:val="InstructionsText"/>
              <w:rPr>
                <w:rStyle w:val="InstructionsTabelleberschrift"/>
                <w:rFonts w:ascii="Times New Roman" w:hAnsi="Times New Roman"/>
                <w:b w:val="0"/>
                <w:sz w:val="24"/>
                <w:u w:val="none"/>
              </w:rPr>
            </w:pPr>
            <w:r>
              <w:t>Aizsargātā atsauces riska darījuma (tiešā riska darījuma) sākotnējo vērtību atskaita no tā riska darījuma vērtības, kas attiecas uz sākotnējo aizņēmēju, slejās “atbilstīgās kredītriska mazināšanas metodes”.</w:t>
            </w:r>
            <w:r>
              <w:rPr>
                <w:rStyle w:val="InstructionsTabelleberschrift"/>
                <w:rFonts w:ascii="Times New Roman" w:hAnsi="Times New Roman"/>
                <w:b w:val="0"/>
                <w:sz w:val="24"/>
                <w:u w:val="none"/>
              </w:rPr>
              <w:t xml:space="preserve"> Netiešais riska darījums ar aizstāšanas ietekmi palielina tā riska darījuma vērtību, kas attiecas uz garantijas devēju vai nodrošinājuma emitentu. Tas attiecas arī uz garantijām, kas piešķirtas savstarpēji saistītu klientu grupas ietvaros.</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 norāda netiešo riska darījumu sākotnējo summu slejā, kas atbilst garantēta vai ar nodrošinājumu nodrošināta tiešā riska darījuma veidam, piemēram, ja garantētais tiešais riska darījums ir parāda instruments, slejā “Parāda instrumenti” jānorāda “netiešā riska darījuma” summa, kas iedalīta garantijas devējam.</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Šajā sleju blokā saskaņā ar KPR 399. pantu norāda arī riska darījumus, kas izriet no ar kredītrisku saistītām parādzīmēm.</w:t>
            </w:r>
          </w:p>
        </w:tc>
      </w:tr>
      <w:tr w:rsidR="00BB3751" w:rsidRPr="00384ADB" w14:paraId="14E769F5" w14:textId="77777777" w:rsidTr="00E351A5">
        <w:tc>
          <w:tcPr>
            <w:tcW w:w="1418" w:type="dxa"/>
          </w:tcPr>
          <w:p w14:paraId="6A760331" w14:textId="7BE20055"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r w:rsidR="00570CDB">
              <w:rPr>
                <w:rStyle w:val="FormatvorlageInstructionsTabelleText"/>
                <w:rFonts w:ascii="Times New Roman" w:hAnsi="Times New Roman"/>
                <w:b/>
                <w:sz w:val="24"/>
              </w:rPr>
              <w:t>.</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Parāda instrumenti</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Sk. norādes attiecībā uz 060. sleju.</w:t>
            </w:r>
          </w:p>
        </w:tc>
      </w:tr>
      <w:tr w:rsidR="00BB3751" w:rsidRPr="00384ADB" w14:paraId="28DAA6A7" w14:textId="77777777" w:rsidTr="00E351A5">
        <w:tc>
          <w:tcPr>
            <w:tcW w:w="1418" w:type="dxa"/>
            <w:shd w:val="clear" w:color="auto" w:fill="FFFFFF"/>
          </w:tcPr>
          <w:p w14:paraId="0CD88F09" w14:textId="2833C5D9"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r w:rsidR="00570CDB">
              <w:rPr>
                <w:rStyle w:val="FormatvorlageInstructionsTabelleText"/>
                <w:rFonts w:ascii="Times New Roman" w:hAnsi="Times New Roman"/>
                <w:b/>
                <w:sz w:val="24"/>
              </w:rPr>
              <w:t>.</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kapitāla instrumenti</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Sk. norādes attiecībā uz 070. sleju.</w:t>
            </w:r>
          </w:p>
        </w:tc>
      </w:tr>
      <w:tr w:rsidR="00BB3751" w:rsidRPr="00384ADB" w14:paraId="2641A204" w14:textId="77777777" w:rsidTr="00E351A5">
        <w:tc>
          <w:tcPr>
            <w:tcW w:w="1418" w:type="dxa"/>
          </w:tcPr>
          <w:p w14:paraId="673816C1" w14:textId="6539F12B"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140</w:t>
            </w:r>
            <w:r w:rsidR="00570CDB">
              <w:rPr>
                <w:rStyle w:val="FormatvorlageInstructionsTabelleText"/>
                <w:rFonts w:ascii="Times New Roman" w:hAnsi="Times New Roman"/>
                <w:b/>
                <w:sz w:val="24"/>
              </w:rPr>
              <w:t>.</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Atvasināti instrumenti</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Sk. norādes attiecībā uz 080. sleju.</w:t>
            </w:r>
          </w:p>
        </w:tc>
      </w:tr>
      <w:tr w:rsidR="00BB3751" w:rsidRPr="00384ADB" w14:paraId="372F0070" w14:textId="77777777" w:rsidTr="00E351A5">
        <w:tc>
          <w:tcPr>
            <w:tcW w:w="1418" w:type="dxa"/>
          </w:tcPr>
          <w:p w14:paraId="3EF141FA" w14:textId="6117FCBB"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–170</w:t>
            </w:r>
            <w:r w:rsidR="00570CDB">
              <w:rPr>
                <w:rStyle w:val="FormatvorlageInstructionsTabelleText"/>
                <w:rFonts w:ascii="Times New Roman" w:hAnsi="Times New Roman"/>
                <w:b/>
                <w:sz w:val="24"/>
              </w:rPr>
              <w:t>.</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Ārpusbilances posteņi</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Šo sleju vērtība ir nominālā vērtība, pirms ir piemērotas jebkādas specifiskās kredītriska korekcijas un korekcijas pakāpes.</w:t>
            </w:r>
          </w:p>
        </w:tc>
      </w:tr>
      <w:tr w:rsidR="00BB3751" w:rsidRPr="00384ADB" w14:paraId="10C7D636" w14:textId="77777777" w:rsidTr="00E351A5">
        <w:tc>
          <w:tcPr>
            <w:tcW w:w="1418" w:type="dxa"/>
          </w:tcPr>
          <w:p w14:paraId="21309724" w14:textId="70478E1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r w:rsidR="00570CDB">
              <w:rPr>
                <w:rStyle w:val="FormatvorlageInstructionsTabelleText"/>
                <w:rFonts w:ascii="Times New Roman" w:hAnsi="Times New Roman"/>
                <w:b/>
                <w:sz w:val="24"/>
              </w:rPr>
              <w:t>.</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Aizdevumu saistības</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Sk. norādes attiecībā uz 090. sleju.</w:t>
            </w:r>
          </w:p>
        </w:tc>
      </w:tr>
      <w:tr w:rsidR="00BB3751" w:rsidRPr="00384ADB" w14:paraId="05B99DA4" w14:textId="77777777" w:rsidTr="00E351A5">
        <w:tc>
          <w:tcPr>
            <w:tcW w:w="1418" w:type="dxa"/>
          </w:tcPr>
          <w:p w14:paraId="5D717FF3" w14:textId="0422E160"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r w:rsidR="00570CDB">
              <w:rPr>
                <w:rStyle w:val="FormatvorlageInstructionsTabelleText"/>
                <w:rFonts w:ascii="Times New Roman" w:hAnsi="Times New Roman"/>
                <w:b/>
                <w:sz w:val="24"/>
              </w:rPr>
              <w:t>.</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Finanšu garantijas</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Sk. norādes attiecībā uz 100. sleju.</w:t>
            </w:r>
          </w:p>
        </w:tc>
      </w:tr>
      <w:tr w:rsidR="00BB3751" w:rsidRPr="00384ADB" w14:paraId="7697AB1C" w14:textId="77777777" w:rsidTr="00E351A5">
        <w:tc>
          <w:tcPr>
            <w:tcW w:w="1418" w:type="dxa"/>
          </w:tcPr>
          <w:p w14:paraId="3CE158BF" w14:textId="492CCB42"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r w:rsidR="00570CDB">
              <w:rPr>
                <w:rStyle w:val="FormatvorlageInstructionsTabelleText"/>
                <w:rFonts w:ascii="Times New Roman" w:hAnsi="Times New Roman"/>
                <w:b/>
                <w:sz w:val="24"/>
              </w:rPr>
              <w:t>.</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Citas saistības</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Sk. norādes attiecībā uz 110. sleju.</w:t>
            </w:r>
          </w:p>
        </w:tc>
      </w:tr>
      <w:tr w:rsidR="00BB3751" w:rsidRPr="00384ADB" w14:paraId="6A6A5E36" w14:textId="77777777" w:rsidTr="00E351A5">
        <w:tc>
          <w:tcPr>
            <w:tcW w:w="1418" w:type="dxa"/>
          </w:tcPr>
          <w:p w14:paraId="338C4B88" w14:textId="567E8355"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r w:rsidR="00570CDB">
              <w:rPr>
                <w:rStyle w:val="FormatvorlageInstructionsTabelleText"/>
                <w:rFonts w:ascii="Times New Roman" w:hAnsi="Times New Roman"/>
                <w:b/>
                <w:sz w:val="24"/>
              </w:rPr>
              <w:t>.</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Papildu riska darījumi, kas izriet no darījumiem, kuros ir riska darījums ar pamatā esošajiem aktīviem</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KPR 390. panta 7. punkts</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Papildu riska darījumi, kas izriet no darījumiem, kuros ir riska darījums ar pamatā esošajiem aktīviem.</w:t>
            </w:r>
          </w:p>
        </w:tc>
      </w:tr>
      <w:tr w:rsidR="00BB3751" w:rsidRPr="00384ADB" w14:paraId="0976ED8C" w14:textId="77777777" w:rsidTr="00E351A5">
        <w:tc>
          <w:tcPr>
            <w:tcW w:w="1418" w:type="dxa"/>
          </w:tcPr>
          <w:p w14:paraId="0DAD3AE7" w14:textId="4E814459"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r w:rsidR="00570CDB">
              <w:rPr>
                <w:rStyle w:val="FormatvorlageInstructionsTabelleText"/>
                <w:rFonts w:ascii="Times New Roman" w:hAnsi="Times New Roman"/>
                <w:b/>
                <w:sz w:val="24"/>
              </w:rPr>
              <w:t>.</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Vērtības korekcijas un uzkrājumi</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KPR 34., 24., 110. un 111. pants</w:t>
            </w:r>
          </w:p>
          <w:p w14:paraId="4F6275C0" w14:textId="77777777" w:rsidR="00BB3751" w:rsidRPr="00327F4C" w:rsidRDefault="00BB3751" w:rsidP="004675B7">
            <w:pPr>
              <w:pStyle w:val="Default"/>
              <w:jc w:val="both"/>
              <w:rPr>
                <w:rStyle w:val="FormatvorlageInstructionsTabelleText"/>
                <w:rFonts w:ascii="Times New Roman" w:eastAsia="Times New Roman" w:hAnsi="Times New Roman"/>
                <w:color w:val="auto"/>
                <w:sz w:val="24"/>
                <w:lang w:val="fr-BE"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Vērtības korekcijas un uzkrājumus, kas iekļauti attiecīgajā grāmatvedības regulējumā (Direktīva 86/635/EEK vai Regula (EK) Nr. 1606/2002) un kas ietekmē riska darījumu vērtēšanu, nosaka saskaņā ar KPR 24. un 110. pantu.</w:t>
            </w:r>
            <w:r>
              <w:rPr>
                <w:rFonts w:ascii="Times New Roman" w:hAnsi="Times New Roman"/>
              </w:rPr>
              <w:t xml:space="preserve"> </w:t>
            </w:r>
          </w:p>
          <w:p w14:paraId="79E96BBA" w14:textId="77777777" w:rsidR="00BB3751" w:rsidRPr="00327F4C" w:rsidRDefault="00BB3751" w:rsidP="004675B7">
            <w:pPr>
              <w:pStyle w:val="Default"/>
              <w:jc w:val="both"/>
              <w:rPr>
                <w:rStyle w:val="FormatvorlageInstructionsTabelleText"/>
                <w:rFonts w:ascii="Times New Roman" w:eastAsia="Times New Roman" w:hAnsi="Times New Roman"/>
                <w:color w:val="auto"/>
                <w:sz w:val="24"/>
                <w:lang w:val="fr-BE"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Šajā slejā uzrāda vērtības korekcijas un uzkrājumus 040. slejā norādītajai bruto riska darījumu vērtībai.</w:t>
            </w:r>
          </w:p>
          <w:p w14:paraId="6A02D374" w14:textId="77777777" w:rsidR="00BB3751" w:rsidRPr="00327F4C" w:rsidRDefault="00BB3751" w:rsidP="00751BC8">
            <w:pPr>
              <w:pStyle w:val="Default"/>
              <w:jc w:val="both"/>
              <w:rPr>
                <w:rStyle w:val="FormatvorlageInstructionsTabelleText"/>
                <w:rFonts w:ascii="Times New Roman" w:hAnsi="Times New Roman"/>
                <w:b/>
                <w:sz w:val="24"/>
                <w:lang w:val="fr-BE"/>
              </w:rPr>
            </w:pPr>
          </w:p>
        </w:tc>
      </w:tr>
      <w:tr w:rsidR="00BB3751" w:rsidRPr="00384ADB" w14:paraId="6AC0DDD9" w14:textId="77777777" w:rsidTr="00E351A5">
        <w:tc>
          <w:tcPr>
            <w:tcW w:w="1418" w:type="dxa"/>
          </w:tcPr>
          <w:p w14:paraId="3283D69F" w14:textId="5027D675"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r w:rsidR="00570CDB">
              <w:rPr>
                <w:rStyle w:val="FormatvorlageInstructionsTabelleText"/>
                <w:rFonts w:ascii="Times New Roman" w:hAnsi="Times New Roman"/>
                <w:b/>
                <w:sz w:val="24"/>
              </w:rPr>
              <w:t>.</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Riska pozīcijas, kas atskaitītas no pirmā līmeņa pamata kapitāla vai pirmā līmeņa papildu kapitāla posteņiem</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KPR 390. panta 6. punkta e) apakšpunkts</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Tiek norādīti no pirmā līmeņa pamata kapitāla vai pirmā līmeņa papildu kapitāla atskaitītie riska darījumi, ko iekļauj sākotnējās riska darījumu vērtības kopsummas dažādajās slejās.</w:t>
            </w:r>
          </w:p>
        </w:tc>
      </w:tr>
      <w:tr w:rsidR="00BB3751" w:rsidRPr="00384ADB" w14:paraId="4B9136B2" w14:textId="77777777" w:rsidTr="00E351A5">
        <w:tc>
          <w:tcPr>
            <w:tcW w:w="1418" w:type="dxa"/>
            <w:vAlign w:val="center"/>
          </w:tcPr>
          <w:p w14:paraId="040BB024" w14:textId="7D197D6D"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210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–230</w:t>
            </w:r>
            <w:r w:rsidR="00570CDB">
              <w:rPr>
                <w:rStyle w:val="FormatvorlageInstructionsTabelleText"/>
                <w:rFonts w:ascii="Times New Roman" w:hAnsi="Times New Roman"/>
                <w:b/>
                <w:sz w:val="24"/>
              </w:rPr>
              <w:t>.</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darījuma vērtība pirms atbrīvojumu un kredītriska mazināšanas metožu piemērošanas</w:t>
            </w:r>
          </w:p>
          <w:p w14:paraId="3CD948DF" w14:textId="157DE6DA" w:rsidR="00BB3751" w:rsidRPr="00384ADB" w:rsidRDefault="00BB3751">
            <w:pPr>
              <w:pStyle w:val="InstructionsText"/>
            </w:pPr>
            <w:r>
              <w:t>KPR 394. panta 1. punkta b) apakšpunkts</w:t>
            </w:r>
          </w:p>
          <w:p w14:paraId="09B6F993" w14:textId="1A0DFE0F" w:rsidR="00BB3751" w:rsidRPr="00384ADB" w:rsidRDefault="008A4511">
            <w:pPr>
              <w:pStyle w:val="InstructionsText"/>
              <w:rPr>
                <w:rStyle w:val="InstructionsTabelleberschrift"/>
                <w:rFonts w:ascii="Times New Roman" w:hAnsi="Times New Roman"/>
                <w:sz w:val="24"/>
              </w:rPr>
            </w:pPr>
            <w:r>
              <w:t>Iestādes attiecīgos gadījumos norāda riska darījuma vērtību, pirms ņemta vērā kredītriska mazināšanas ietekme.</w:t>
            </w:r>
          </w:p>
        </w:tc>
      </w:tr>
      <w:tr w:rsidR="00BB3751" w:rsidRPr="00384ADB" w14:paraId="08970904" w14:textId="77777777" w:rsidTr="00E351A5">
        <w:tc>
          <w:tcPr>
            <w:tcW w:w="1418" w:type="dxa"/>
          </w:tcPr>
          <w:p w14:paraId="1CEC30A5" w14:textId="55EDBB5A"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r w:rsidR="00570CDB">
              <w:rPr>
                <w:rStyle w:val="FormatvorlageInstructionsTabelleText"/>
                <w:rFonts w:ascii="Times New Roman" w:hAnsi="Times New Roman"/>
                <w:b/>
                <w:sz w:val="24"/>
              </w:rPr>
              <w:t>.</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Kopā</w:t>
            </w:r>
          </w:p>
          <w:p w14:paraId="1BEC7AF8" w14:textId="77777777" w:rsidR="00BB3751" w:rsidRPr="0039317F" w:rsidRDefault="00BB3751">
            <w:pPr>
              <w:pStyle w:val="InstructionsText"/>
            </w:pPr>
            <w:r>
              <w:t>Šajā slejā norādāmā riska darījumu vērtība ir summa, ko izmanto, lai noteiktu, vai riska darījums ir lielais riska darījums saskaņā ar definīciju KPR 392. pantā.</w:t>
            </w:r>
          </w:p>
          <w:p w14:paraId="5F3ED5A5" w14:textId="72A2528D" w:rsidR="00B0191A" w:rsidRPr="00384ADB" w:rsidRDefault="00BB3751">
            <w:pPr>
              <w:pStyle w:val="InstructionsText"/>
              <w:rPr>
                <w:rStyle w:val="FormatvorlageInstructionsTabelleText"/>
                <w:rFonts w:ascii="Times New Roman" w:hAnsi="Times New Roman"/>
                <w:b/>
                <w:sz w:val="24"/>
              </w:rPr>
            </w:pPr>
            <w:r>
              <w:t>Tas ietver sākotnējo riska darījuma vērtību pēc tam, kad atskaitītas vērtības korekcijas un uzkrājumi un riska darījumu summa, ko atskaita no pirmā līmeņa pamata kapitāla vai pirmā līmeņa papildu kapitāla.</w:t>
            </w:r>
          </w:p>
        </w:tc>
      </w:tr>
      <w:tr w:rsidR="00BB3751" w:rsidRPr="00384ADB" w14:paraId="053E197C" w14:textId="77777777" w:rsidTr="00E351A5">
        <w:tc>
          <w:tcPr>
            <w:tcW w:w="1418" w:type="dxa"/>
          </w:tcPr>
          <w:p w14:paraId="25418B69" w14:textId="1C39562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r w:rsidR="00570CDB">
              <w:rPr>
                <w:rStyle w:val="FormatvorlageInstructionsTabelleText"/>
                <w:rFonts w:ascii="Times New Roman" w:hAnsi="Times New Roman"/>
                <w:b/>
                <w:sz w:val="24"/>
              </w:rPr>
              <w:t>.</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w:t>
            </w:r>
            <w:proofErr w:type="spellStart"/>
            <w:r>
              <w:rPr>
                <w:rStyle w:val="InstructionsTabelleberschrift"/>
                <w:rFonts w:ascii="Times New Roman" w:hAnsi="Times New Roman"/>
                <w:sz w:val="24"/>
              </w:rPr>
              <w:t>Netirdzniecības</w:t>
            </w:r>
            <w:proofErr w:type="spellEnd"/>
            <w:r>
              <w:rPr>
                <w:rStyle w:val="InstructionsTabelleberschrift"/>
                <w:rFonts w:ascii="Times New Roman" w:hAnsi="Times New Roman"/>
                <w:sz w:val="24"/>
              </w:rPr>
              <w:t xml:space="preserve"> portfelis</w:t>
            </w:r>
          </w:p>
          <w:p w14:paraId="30AA02E7" w14:textId="2DCEC680" w:rsidR="00BB3751" w:rsidRPr="00384ADB" w:rsidRDefault="00BB3751" w:rsidP="00A55755">
            <w:pPr>
              <w:spacing w:before="0"/>
              <w:rPr>
                <w:rStyle w:val="FormatvorlageInstructionsTabelleText"/>
                <w:rFonts w:ascii="Times New Roman" w:hAnsi="Times New Roman"/>
                <w:b/>
                <w:sz w:val="24"/>
              </w:rPr>
            </w:pPr>
            <w:proofErr w:type="spellStart"/>
            <w:r>
              <w:rPr>
                <w:rStyle w:val="InstructionsTabelleberschrift"/>
                <w:rFonts w:ascii="Times New Roman" w:hAnsi="Times New Roman"/>
                <w:b w:val="0"/>
                <w:sz w:val="24"/>
                <w:u w:val="none"/>
              </w:rPr>
              <w:t>Netirdzniecības</w:t>
            </w:r>
            <w:proofErr w:type="spellEnd"/>
            <w:r>
              <w:rPr>
                <w:rStyle w:val="InstructionsTabelleberschrift"/>
                <w:rFonts w:ascii="Times New Roman" w:hAnsi="Times New Roman"/>
                <w:b w:val="0"/>
                <w:sz w:val="24"/>
                <w:u w:val="none"/>
              </w:rPr>
              <w:t xml:space="preserve"> portfeļa summa kopējā riska darījumu vērtībā pirms atbrīvojumu un kredītriska mazināšanas metožu piemērošanas.</w:t>
            </w:r>
          </w:p>
        </w:tc>
      </w:tr>
      <w:tr w:rsidR="00BB3751" w:rsidRPr="00384ADB" w14:paraId="2C4F3924" w14:textId="77777777" w:rsidTr="00E351A5">
        <w:tc>
          <w:tcPr>
            <w:tcW w:w="1418" w:type="dxa"/>
          </w:tcPr>
          <w:p w14:paraId="3A645B0D" w14:textId="5EAB8DBB"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r w:rsidR="00570CDB">
              <w:rPr>
                <w:rStyle w:val="FormatvorlageInstructionsTabelleText"/>
                <w:rFonts w:ascii="Times New Roman" w:hAnsi="Times New Roman"/>
                <w:b/>
                <w:sz w:val="24"/>
              </w:rPr>
              <w:t>.</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no pirmā līmeņa kapitāla</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Fonts w:ascii="Times New Roman" w:hAnsi="Times New Roman"/>
                <w:sz w:val="24"/>
              </w:rPr>
              <w:t>KPR 392. un 395. pants</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Uzrādāmā summa ir riska darījumu vērtības procentuāla daļa pirms atbrīvojumu un kredītriska mazināšanas metožu piemērošanas saistībā ar iestādes atbilstošo pirmā līmeņa kapitālu, kas definēts KPR 25. pantā.</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39B72C4A"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–310</w:t>
            </w:r>
            <w:r w:rsidR="00570CDB">
              <w:rPr>
                <w:rStyle w:val="FormatvorlageInstructionsTabelleText"/>
                <w:rFonts w:ascii="Times New Roman" w:hAnsi="Times New Roman"/>
                <w:b/>
                <w:sz w:val="24"/>
              </w:rPr>
              <w:t>.</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Atbilstošas kredītriska mazināšanas metodes</w:t>
            </w:r>
          </w:p>
          <w:p w14:paraId="4FDD078D" w14:textId="2A27F0F0"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KPR 399. pants un 401. līdz 403. pants. </w:t>
            </w:r>
            <w:r>
              <w:rPr>
                <w:rStyle w:val="FormatvorlageInstructionsTabelleText"/>
                <w:rFonts w:ascii="Times New Roman" w:hAnsi="Times New Roman"/>
                <w:sz w:val="24"/>
              </w:rPr>
              <w:t>Jēdziens “kredītriska mazināšana” ir definēts KPR 4. panta 1. punkta 57) apakšpunktā.</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Fonts w:ascii="Times New Roman" w:hAnsi="Times New Roman"/>
                <w:sz w:val="24"/>
              </w:rPr>
              <w:t>Kredītriska mazināšanas metodes, kas ir atzītas KPR trešās daļas II sadaļas 3. un 4. nodaļā, izmanto saskaņā ar KPR 401. līdz 403. pantu.</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Kredītriska mazināšanas metodēm var būt trīs dažādu veidu ietekme uz lielo riska darījumu režīmu: aizstāšanas ietekme; fondētā </w:t>
            </w:r>
            <w:proofErr w:type="spellStart"/>
            <w:r>
              <w:rPr>
                <w:rStyle w:val="InstructionsTabelleberschrift"/>
                <w:rFonts w:ascii="Times New Roman" w:hAnsi="Times New Roman"/>
                <w:b w:val="0"/>
                <w:sz w:val="24"/>
                <w:u w:val="none"/>
              </w:rPr>
              <w:t>kredītaizsardzība</w:t>
            </w:r>
            <w:proofErr w:type="spellEnd"/>
            <w:r>
              <w:rPr>
                <w:rStyle w:val="InstructionsTabelleberschrift"/>
                <w:rFonts w:ascii="Times New Roman" w:hAnsi="Times New Roman"/>
                <w:b w:val="0"/>
                <w:sz w:val="24"/>
                <w:u w:val="none"/>
              </w:rPr>
              <w:t>, kas nav aizstāšanas ietekme; un nekustamā īpašuma režīms.</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6243B5CE"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–290</w:t>
            </w:r>
            <w:r w:rsidR="00570CDB">
              <w:rPr>
                <w:rStyle w:val="FormatvorlageInstructionsTabelleText"/>
                <w:rFonts w:ascii="Times New Roman" w:hAnsi="Times New Roman"/>
                <w:b/>
                <w:sz w:val="24"/>
              </w:rPr>
              <w:t>.</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Atbilstošo kredītriska mazināšanas metožu aizstāšanas ietekme</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t>KPR 403. pants</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proofErr w:type="spellStart"/>
            <w:r>
              <w:t>Fondētās</w:t>
            </w:r>
            <w:proofErr w:type="spellEnd"/>
            <w:r>
              <w:t xml:space="preserve"> un </w:t>
            </w:r>
            <w:proofErr w:type="spellStart"/>
            <w:r>
              <w:t>nefondētās</w:t>
            </w:r>
            <w:proofErr w:type="spellEnd"/>
            <w:r>
              <w:t xml:space="preserve"> </w:t>
            </w:r>
            <w:proofErr w:type="spellStart"/>
            <w:r>
              <w:t>kredītaizsardzības</w:t>
            </w:r>
            <w:proofErr w:type="spellEnd"/>
            <w:r>
              <w:t xml:space="preserve"> summa, par kuru sniedz pārskatu šajās slejās, ir riska darījumi, kurus garantējusi trešā persona vai kuri ir nodrošināti ar trešās personas emitētu nodrošinājumu, un ja iestāde to riska pozīciju daļu, kura ir garantēta un/vai nodrošināta ar atzīta nodrošinājuma tirgus vērtību, pielīdzina tādām, kas ir ar garantijas devēju vai nodrošinājuma emitentu.</w:t>
            </w:r>
          </w:p>
        </w:tc>
      </w:tr>
      <w:tr w:rsidR="00BB3751" w:rsidRPr="00384ADB" w14:paraId="76FFC12B" w14:textId="77777777" w:rsidTr="00E351A5">
        <w:tc>
          <w:tcPr>
            <w:tcW w:w="1418" w:type="dxa"/>
          </w:tcPr>
          <w:p w14:paraId="07D49EBA" w14:textId="5AA298B2"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r w:rsidR="00570CDB">
              <w:rPr>
                <w:rStyle w:val="FormatvorlageInstructionsTabelleText"/>
                <w:rFonts w:ascii="Times New Roman" w:hAnsi="Times New Roman"/>
                <w:b/>
                <w:sz w:val="24"/>
              </w:rPr>
              <w:t>.</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Parāda instrumenti</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Sk. norādes attiecībā uz 060. sleju.</w:t>
            </w:r>
          </w:p>
        </w:tc>
      </w:tr>
      <w:tr w:rsidR="00BB3751" w:rsidRPr="00384ADB" w14:paraId="7D00FFA4" w14:textId="77777777" w:rsidTr="00E351A5">
        <w:tc>
          <w:tcPr>
            <w:tcW w:w="1418" w:type="dxa"/>
          </w:tcPr>
          <w:p w14:paraId="4CA28BAD" w14:textId="2AC8BDFB"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r w:rsidR="00570CDB">
              <w:rPr>
                <w:rStyle w:val="FormatvorlageInstructionsTabelleText"/>
                <w:rFonts w:ascii="Times New Roman" w:hAnsi="Times New Roman"/>
                <w:b/>
                <w:sz w:val="24"/>
              </w:rPr>
              <w:t>.</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Kapitāla vērtspapīru instrumenti</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Sk. norādes attiecībā uz 070. sleju.</w:t>
            </w:r>
          </w:p>
        </w:tc>
      </w:tr>
      <w:tr w:rsidR="00BB3751" w:rsidRPr="00384ADB" w14:paraId="46357287" w14:textId="77777777" w:rsidTr="00E351A5">
        <w:tc>
          <w:tcPr>
            <w:tcW w:w="1418" w:type="dxa"/>
          </w:tcPr>
          <w:p w14:paraId="2A5C2746" w14:textId="722D0D70"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r w:rsidR="00570CDB">
              <w:rPr>
                <w:rStyle w:val="FormatvorlageInstructionsTabelleText"/>
                <w:rFonts w:ascii="Times New Roman" w:hAnsi="Times New Roman"/>
                <w:b/>
                <w:sz w:val="24"/>
              </w:rPr>
              <w:t>.</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Atvasinātie instrumenti</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Sk. norādes attiecībā uz 080. sleju.</w:t>
            </w:r>
          </w:p>
        </w:tc>
      </w:tr>
      <w:tr w:rsidR="00BB3751" w:rsidRPr="00384ADB" w14:paraId="2F3350CA" w14:textId="77777777" w:rsidTr="00E351A5">
        <w:tc>
          <w:tcPr>
            <w:tcW w:w="1418" w:type="dxa"/>
          </w:tcPr>
          <w:p w14:paraId="0B7781E2" w14:textId="7A2A8AD9"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–290</w:t>
            </w:r>
            <w:r w:rsidR="00570CDB">
              <w:rPr>
                <w:rStyle w:val="FormatvorlageInstructionsTabelleText"/>
                <w:rFonts w:ascii="Times New Roman" w:hAnsi="Times New Roman"/>
                <w:b/>
                <w:sz w:val="24"/>
              </w:rPr>
              <w:t>.</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Ārpusbilances posteņi</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Šo sleju vērtība tiek norādīta, nepiemērojot korekcijas pakāpes.</w:t>
            </w:r>
          </w:p>
        </w:tc>
      </w:tr>
      <w:tr w:rsidR="00BB3751" w:rsidRPr="00384ADB" w14:paraId="3658B7E1" w14:textId="77777777" w:rsidTr="00E351A5">
        <w:tc>
          <w:tcPr>
            <w:tcW w:w="1418" w:type="dxa"/>
          </w:tcPr>
          <w:p w14:paraId="5EAF0EED" w14:textId="4D1D992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r w:rsidR="00570CDB">
              <w:rPr>
                <w:rStyle w:val="FormatvorlageInstructionsTabelleText"/>
                <w:rFonts w:ascii="Times New Roman" w:hAnsi="Times New Roman"/>
                <w:b/>
                <w:sz w:val="24"/>
              </w:rPr>
              <w:t>.</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Aizdevumu piešķiršanas saistības</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Sk. norādes attiecībā uz 090. sleju.</w:t>
            </w:r>
          </w:p>
        </w:tc>
      </w:tr>
      <w:tr w:rsidR="00BB3751" w:rsidRPr="00384ADB" w14:paraId="1FAE7572" w14:textId="77777777" w:rsidTr="00E351A5">
        <w:tc>
          <w:tcPr>
            <w:tcW w:w="1418" w:type="dxa"/>
          </w:tcPr>
          <w:p w14:paraId="049312A7" w14:textId="038A0E05"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r w:rsidR="00570CDB">
              <w:rPr>
                <w:rStyle w:val="FormatvorlageInstructionsTabelleText"/>
                <w:rFonts w:ascii="Times New Roman" w:hAnsi="Times New Roman"/>
                <w:b/>
                <w:sz w:val="24"/>
              </w:rPr>
              <w:t>.</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Finanšu garantijas</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Sk. norādes attiecībā uz 100. sleju.</w:t>
            </w:r>
          </w:p>
        </w:tc>
      </w:tr>
      <w:tr w:rsidR="00BB3751" w:rsidRPr="00384ADB" w14:paraId="395557F3" w14:textId="77777777" w:rsidTr="00E351A5">
        <w:tc>
          <w:tcPr>
            <w:tcW w:w="1418" w:type="dxa"/>
          </w:tcPr>
          <w:p w14:paraId="02DC4F37" w14:textId="624891E8"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r w:rsidR="00570CDB">
              <w:rPr>
                <w:rStyle w:val="FormatvorlageInstructionsTabelleText"/>
                <w:rFonts w:ascii="Times New Roman" w:hAnsi="Times New Roman"/>
                <w:b/>
                <w:sz w:val="24"/>
              </w:rPr>
              <w:t>.</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Citas saistības</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Sk. norādes attiecībā uz 110. sleju.</w:t>
            </w:r>
          </w:p>
        </w:tc>
      </w:tr>
      <w:tr w:rsidR="00BB3751" w:rsidRPr="00384ADB" w14:paraId="08BF7099" w14:textId="77777777" w:rsidTr="00E351A5">
        <w:tc>
          <w:tcPr>
            <w:tcW w:w="1418" w:type="dxa"/>
          </w:tcPr>
          <w:p w14:paraId="1A1BD89A" w14:textId="1512650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r w:rsidR="00570CDB">
              <w:rPr>
                <w:rStyle w:val="FormatvorlageInstructionsTabelleText"/>
                <w:rFonts w:ascii="Times New Roman" w:hAnsi="Times New Roman"/>
                <w:b/>
                <w:sz w:val="24"/>
              </w:rPr>
              <w:t>.</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xml:space="preserve">(-) Fondētā </w:t>
            </w:r>
            <w:proofErr w:type="spellStart"/>
            <w:r>
              <w:rPr>
                <w:rStyle w:val="InstructionsTabelleberschrift"/>
                <w:rFonts w:ascii="Times New Roman" w:hAnsi="Times New Roman"/>
                <w:sz w:val="24"/>
              </w:rPr>
              <w:t>kredītaizsardzība</w:t>
            </w:r>
            <w:proofErr w:type="spellEnd"/>
            <w:r>
              <w:rPr>
                <w:rStyle w:val="InstructionsTabelleberschrift"/>
                <w:rFonts w:ascii="Times New Roman" w:hAnsi="Times New Roman"/>
                <w:sz w:val="24"/>
              </w:rPr>
              <w:t>, kas nav aizstāšanas ietekme</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401. pants</w:t>
            </w:r>
          </w:p>
          <w:p w14:paraId="20CD461E" w14:textId="1B68F208" w:rsidR="00B0191A" w:rsidRDefault="0054768B">
            <w:pPr>
              <w:pStyle w:val="InstructionsText"/>
              <w:rPr>
                <w:rStyle w:val="InstructionsTabelleberschrift"/>
                <w:rFonts w:ascii="Times New Roman" w:hAnsi="Times New Roman"/>
                <w:b w:val="0"/>
                <w:sz w:val="24"/>
                <w:u w:val="none"/>
              </w:rPr>
            </w:pPr>
            <w:r>
              <w:lastRenderedPageBreak/>
              <w:t xml:space="preserve">Iestāde norāda </w:t>
            </w:r>
            <w:proofErr w:type="spellStart"/>
            <w:r>
              <w:t>fondētās</w:t>
            </w:r>
            <w:proofErr w:type="spellEnd"/>
            <w:r>
              <w:t xml:space="preserve"> </w:t>
            </w:r>
            <w:proofErr w:type="spellStart"/>
            <w:r>
              <w:t>kredītaizsardzības</w:t>
            </w:r>
            <w:proofErr w:type="spellEnd"/>
            <w:r>
              <w:t>, kas definēta KPR 4. panta 1. punkta 58. apakšpunktā, summas, kas atskaitītas no riska darījuma vērtības, piemērojot KPR 401. pantu.</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Saskaņā ar KPR 401. panta 1. punktu riska darījumu vērtībai piemēro svārstīguma korekcijas, ko uzrāda kā riska darījumu vērtības palielinājumu.</w:t>
            </w:r>
          </w:p>
        </w:tc>
      </w:tr>
      <w:tr w:rsidR="00BB3751" w:rsidRPr="00384ADB" w14:paraId="3BE0AFB7" w14:textId="77777777" w:rsidTr="00E351A5">
        <w:tc>
          <w:tcPr>
            <w:tcW w:w="1418" w:type="dxa"/>
          </w:tcPr>
          <w:p w14:paraId="334F55DB" w14:textId="7DBB492F"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310</w:t>
            </w:r>
            <w:r w:rsidR="00570CDB">
              <w:rPr>
                <w:rStyle w:val="FormatvorlageInstructionsTabelleText"/>
                <w:rFonts w:ascii="Times New Roman" w:hAnsi="Times New Roman"/>
                <w:b/>
                <w:sz w:val="24"/>
              </w:rPr>
              <w:t>.</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Nekustamais īpašums</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KPR 402. pants</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t>Iestāde norāda summas, kas atskaitītas no riska darījuma vērtības, piemērojot KPR 402. pantu.</w:t>
            </w:r>
          </w:p>
        </w:tc>
      </w:tr>
      <w:tr w:rsidR="00BB3751" w:rsidRPr="00384ADB" w14:paraId="3864B685" w14:textId="77777777" w:rsidTr="00975447">
        <w:tc>
          <w:tcPr>
            <w:tcW w:w="1418" w:type="dxa"/>
          </w:tcPr>
          <w:p w14:paraId="35C1D9EB" w14:textId="5DEA5170"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r w:rsidR="00570CDB">
              <w:rPr>
                <w:rStyle w:val="FormatvorlageInstructionsTabelleText"/>
                <w:rFonts w:ascii="Times New Roman" w:hAnsi="Times New Roman"/>
                <w:b/>
                <w:sz w:val="24"/>
              </w:rPr>
              <w:t>..</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Summas, uz kurām attiecas atbrīvojums</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KPR 400. pants</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Fonts w:ascii="Times New Roman" w:hAnsi="Times New Roman"/>
                <w:sz w:val="24"/>
              </w:rPr>
              <w:t>Iestāde norāda summas, kas ir atbrīvotas no lielo riska darījumu režīma.</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0143118E"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darījuma vērtība pēc atbrīvojumu un kredītriska mazināšanas metožu piemērošanas</w:t>
            </w:r>
          </w:p>
          <w:p w14:paraId="37FBBCBE" w14:textId="1989C0C0" w:rsidR="00BB3751" w:rsidRPr="0039317F" w:rsidRDefault="00BB3751">
            <w:pPr>
              <w:pStyle w:val="InstructionsText"/>
            </w:pPr>
            <w:r>
              <w:t>KPR 394. panta 1. punkta d) apakšpunkts</w:t>
            </w:r>
          </w:p>
          <w:p w14:paraId="5D37D332" w14:textId="25A48276" w:rsidR="00B0191A" w:rsidRPr="00384ADB" w:rsidRDefault="0054768B">
            <w:pPr>
              <w:pStyle w:val="InstructionsText"/>
              <w:rPr>
                <w:rStyle w:val="InstructionsTabelleberschrift"/>
                <w:rFonts w:ascii="Times New Roman" w:hAnsi="Times New Roman"/>
                <w:bCs w:val="0"/>
                <w:sz w:val="24"/>
              </w:rPr>
            </w:pPr>
            <w:r>
              <w:t>Iestāde norāda riska darījumu vērtību pēc tam, kad, ņemta vērā izņēmumu un kredītriska mazināšanas ietekme, kas aprēķināta KPR 395. panta 1. punkta piemērošanas nolūkā.</w:t>
            </w:r>
          </w:p>
        </w:tc>
      </w:tr>
      <w:tr w:rsidR="00BB3751" w:rsidRPr="00384ADB" w14:paraId="5FD19E76" w14:textId="77777777" w:rsidTr="00975447">
        <w:tc>
          <w:tcPr>
            <w:tcW w:w="1418" w:type="dxa"/>
          </w:tcPr>
          <w:p w14:paraId="4D5E610A" w14:textId="05051C3A"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r w:rsidR="00570CDB">
              <w:rPr>
                <w:rStyle w:val="FormatvorlageInstructionsTabelleText"/>
                <w:rFonts w:ascii="Times New Roman" w:hAnsi="Times New Roman"/>
                <w:b/>
                <w:sz w:val="24"/>
              </w:rPr>
              <w:t>.</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Kopā</w:t>
            </w:r>
          </w:p>
          <w:p w14:paraId="5EAE4D20" w14:textId="2997F914" w:rsidR="00B0191A" w:rsidRPr="00384ADB" w:rsidRDefault="00BB3751">
            <w:pPr>
              <w:pStyle w:val="InstructionsText"/>
              <w:rPr>
                <w:rStyle w:val="InstructionsTabelleberschrift"/>
                <w:rFonts w:ascii="Times New Roman" w:hAnsi="Times New Roman"/>
                <w:sz w:val="24"/>
              </w:rPr>
            </w:pPr>
            <w:r>
              <w:t>Šajā slejā iekļauj summu, kas jāņem vērā, lai nodrošinātu atbilstību KPR 395. pantā noteiktajam lielo riska darījumu limitam.</w:t>
            </w:r>
          </w:p>
        </w:tc>
      </w:tr>
      <w:tr w:rsidR="00BB3751" w:rsidRPr="00384ADB" w14:paraId="7FDF31DD" w14:textId="77777777" w:rsidTr="00975447">
        <w:tc>
          <w:tcPr>
            <w:tcW w:w="1418" w:type="dxa"/>
          </w:tcPr>
          <w:p w14:paraId="07B90CE8" w14:textId="301893E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r w:rsidR="00570CDB">
              <w:rPr>
                <w:rStyle w:val="FormatvorlageInstructionsTabelleText"/>
                <w:rFonts w:ascii="Times New Roman" w:hAnsi="Times New Roman"/>
                <w:b/>
                <w:sz w:val="24"/>
              </w:rPr>
              <w:t>.</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 kā: </w:t>
            </w:r>
            <w:proofErr w:type="spellStart"/>
            <w:r>
              <w:rPr>
                <w:rStyle w:val="InstructionsTabelleberschrift"/>
                <w:rFonts w:ascii="Times New Roman" w:hAnsi="Times New Roman"/>
                <w:sz w:val="24"/>
              </w:rPr>
              <w:t>Netirdzniecības</w:t>
            </w:r>
            <w:proofErr w:type="spellEnd"/>
            <w:r>
              <w:rPr>
                <w:rStyle w:val="InstructionsTabelleberschrift"/>
                <w:rFonts w:ascii="Times New Roman" w:hAnsi="Times New Roman"/>
                <w:sz w:val="24"/>
              </w:rPr>
              <w:t xml:space="preserve"> portfelis</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Iestāde norāda kopējo pie </w:t>
            </w:r>
            <w:proofErr w:type="spellStart"/>
            <w:r>
              <w:rPr>
                <w:rStyle w:val="FormatvorlageInstructionsTabelleText"/>
                <w:rFonts w:ascii="Times New Roman" w:hAnsi="Times New Roman"/>
                <w:sz w:val="24"/>
              </w:rPr>
              <w:t>netirdzniecības</w:t>
            </w:r>
            <w:proofErr w:type="spellEnd"/>
            <w:r>
              <w:rPr>
                <w:rStyle w:val="FormatvorlageInstructionsTabelleText"/>
                <w:rFonts w:ascii="Times New Roman" w:hAnsi="Times New Roman"/>
                <w:sz w:val="24"/>
              </w:rPr>
              <w:t xml:space="preserve"> portfeļa piederošo riska darījuma vērtību pēc atbrīvojumu piemērošanas un, ņemot vērā kredītriska mazināšanas metožu ietekmi.</w:t>
            </w:r>
          </w:p>
        </w:tc>
      </w:tr>
      <w:tr w:rsidR="00BB3751" w:rsidRPr="00384ADB" w14:paraId="5FAE66A6" w14:textId="77777777" w:rsidTr="00975447">
        <w:tc>
          <w:tcPr>
            <w:tcW w:w="1418" w:type="dxa"/>
          </w:tcPr>
          <w:p w14:paraId="3088E63E" w14:textId="39EF823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r w:rsidR="00570CDB">
              <w:rPr>
                <w:rStyle w:val="FormatvorlageInstructionsTabelleText"/>
                <w:rFonts w:ascii="Times New Roman" w:hAnsi="Times New Roman"/>
                <w:b/>
                <w:sz w:val="24"/>
              </w:rPr>
              <w:t>.</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no pirmā līmeņa kapitāla</w:t>
            </w:r>
          </w:p>
          <w:p w14:paraId="704D471F" w14:textId="0CE27B60" w:rsidR="00BB3751" w:rsidRPr="00384ADB" w:rsidRDefault="0054768B" w:rsidP="00A55755">
            <w:pPr>
              <w:spacing w:before="0"/>
              <w:rPr>
                <w:rStyle w:val="InstructionsTabelleberschrift"/>
                <w:rFonts w:ascii="Times New Roman" w:hAnsi="Times New Roman"/>
                <w:sz w:val="24"/>
              </w:rPr>
            </w:pPr>
            <w:r>
              <w:rPr>
                <w:rFonts w:ascii="Times New Roman" w:hAnsi="Times New Roman"/>
                <w:sz w:val="24"/>
              </w:rPr>
              <w:t>Iestāde norāda riska darījumu vērtības procentuālo daļu pēc atbrīvojumu un kredītriska mazināšanas piemērošanas iestādes pirmā līmeņa kapitālam, kā noteikts KPR 25. pantā.</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522797"/>
      <w:r>
        <w:rPr>
          <w:rFonts w:ascii="Times New Roman" w:hAnsi="Times New Roman"/>
          <w:b/>
          <w:sz w:val="24"/>
          <w:u w:val="none"/>
        </w:rPr>
        <w:lastRenderedPageBreak/>
        <w:t>C 29.00 - Informācija par riska darījumiem ar atsevišķiem klientiem savstarpēji saistītu klientu grupās (LE3)</w:t>
      </w:r>
      <w:bookmarkEnd w:id="23"/>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188522798"/>
      <w:bookmarkStart w:id="26" w:name="_Toc308175824"/>
      <w:bookmarkStart w:id="27" w:name="_Toc310414970"/>
      <w:bookmarkStart w:id="28" w:name="_Toc358305158"/>
      <w:r>
        <w:rPr>
          <w:rFonts w:ascii="Times New Roman" w:hAnsi="Times New Roman"/>
          <w:sz w:val="24"/>
        </w:rPr>
        <w:t>Norādes par konkrētām slejām</w:t>
      </w:r>
      <w:bookmarkEnd w:id="25"/>
      <w:r>
        <w:rPr>
          <w:rFonts w:ascii="Times New Roman" w:hAnsi="Times New Roman"/>
          <w:sz w:val="24"/>
        </w:rPr>
        <w:t xml:space="preserve"> </w:t>
      </w:r>
      <w:bookmarkEnd w:id="26"/>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Sleja</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Atsauces uz tiesību aktu noteikumiem un norādījumi</w:t>
            </w:r>
          </w:p>
        </w:tc>
      </w:tr>
      <w:tr w:rsidR="005514AF" w:rsidRPr="00384ADB" w14:paraId="7EF2AC35" w14:textId="77777777" w:rsidTr="00975447">
        <w:tc>
          <w:tcPr>
            <w:tcW w:w="1418" w:type="dxa"/>
          </w:tcPr>
          <w:p w14:paraId="05715FB6" w14:textId="57B7150B"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–360</w:t>
            </w:r>
            <w:r w:rsidR="00570CDB">
              <w:rPr>
                <w:rStyle w:val="FormatvorlageInstructionsTabelleText"/>
                <w:rFonts w:ascii="Times New Roman" w:hAnsi="Times New Roman"/>
                <w:b/>
                <w:sz w:val="24"/>
              </w:rPr>
              <w:t>.</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Iestāde veidnē LE3 norāda veidnes LE2 rindās iekļautos datus par atsevišķiem klientiem, kas pieder pie savstarpēji saistītu klientu grupām. </w:t>
            </w:r>
          </w:p>
        </w:tc>
      </w:tr>
      <w:tr w:rsidR="006E7C46" w:rsidRPr="00384ADB" w14:paraId="5AF37287" w14:textId="77777777" w:rsidTr="00975447">
        <w:trPr>
          <w:trHeight w:val="1203"/>
        </w:trPr>
        <w:tc>
          <w:tcPr>
            <w:tcW w:w="1418" w:type="dxa"/>
          </w:tcPr>
          <w:p w14:paraId="3EC55FE5" w14:textId="25AF2EEC"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r w:rsidR="00570CDB">
              <w:rPr>
                <w:rStyle w:val="FormatvorlageInstructionsTabelleText"/>
                <w:rFonts w:ascii="Times New Roman" w:hAnsi="Times New Roman"/>
                <w:b/>
                <w:sz w:val="24"/>
              </w:rPr>
              <w:t>.</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Kods</w:t>
            </w:r>
          </w:p>
          <w:p w14:paraId="0892E5F8" w14:textId="6444456A"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r w:rsidR="0081153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un 020</w:t>
            </w:r>
            <w:r w:rsidR="0081153C">
              <w:rPr>
                <w:rStyle w:val="InstructionsTabelleberschrift"/>
                <w:rFonts w:ascii="Times New Roman" w:hAnsi="Times New Roman"/>
                <w:b w:val="0"/>
                <w:sz w:val="24"/>
                <w:u w:val="none"/>
              </w:rPr>
              <w:t>. sleja</w:t>
            </w:r>
            <w:r>
              <w:rPr>
                <w:rStyle w:val="InstructionsTabelleberschrift"/>
                <w:rFonts w:ascii="Times New Roman" w:hAnsi="Times New Roman"/>
                <w:b w:val="0"/>
                <w:sz w:val="24"/>
                <w:u w:val="none"/>
              </w:rPr>
              <w:t xml:space="preserve"> ir salikts rindas identifikators, un kopā šim identifikatoram jābūt vienreizējam attiecībā uz katru tabulas rindu.</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Paziņo pie savstarpēji saistītu klientu grupas piederošā atsevišķā darījumu partnera kodu.</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Šos kodus laika gaitā izmanto vienotā veidā.</w:t>
            </w:r>
          </w:p>
        </w:tc>
      </w:tr>
      <w:tr w:rsidR="00FC221F" w:rsidRPr="00384ADB" w14:paraId="069CD669" w14:textId="77777777" w:rsidTr="00975447">
        <w:trPr>
          <w:trHeight w:val="1203"/>
        </w:trPr>
        <w:tc>
          <w:tcPr>
            <w:tcW w:w="1418" w:type="dxa"/>
          </w:tcPr>
          <w:p w14:paraId="487D8061" w14:textId="4CA7EB1A"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r w:rsidR="00570CDB">
              <w:rPr>
                <w:rStyle w:val="FormatvorlageInstructionsTabelleText"/>
                <w:rFonts w:ascii="Times New Roman" w:hAnsi="Times New Roman"/>
                <w:b/>
                <w:sz w:val="24"/>
              </w:rPr>
              <w:t>.</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Grupas kods</w:t>
            </w:r>
          </w:p>
          <w:p w14:paraId="39FD8A12" w14:textId="4071D42F"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r w:rsidR="0081153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un 020</w:t>
            </w:r>
            <w:r w:rsidR="0081153C">
              <w:rPr>
                <w:rStyle w:val="InstructionsTabelleberschrift"/>
                <w:rFonts w:ascii="Times New Roman" w:hAnsi="Times New Roman"/>
                <w:b w:val="0"/>
                <w:sz w:val="24"/>
                <w:u w:val="none"/>
              </w:rPr>
              <w:t>. sleja</w:t>
            </w:r>
            <w:r>
              <w:rPr>
                <w:rStyle w:val="InstructionsTabelleberschrift"/>
                <w:rFonts w:ascii="Times New Roman" w:hAnsi="Times New Roman"/>
                <w:b w:val="0"/>
                <w:sz w:val="24"/>
                <w:u w:val="none"/>
              </w:rPr>
              <w:t xml:space="preserve"> ir salikts rindas identifikators, un kopā šim identifikatoram jābūt vienreizējam attiecībā uz katru tabulas rindu.</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valsts līmenī ir pieejams unikāls kods savstarpēji saistītu klientu grupai, uzrāda šādu kodu. Ja valsts līmenī nav unikāla koda, uzrāda to kodu, kas izmantots, lai sniegtu pārskatu par riska darījumiem ar savstarpēji saistītu klientu grupu, kas minēts veidnē C 28.00 (LE2).</w:t>
            </w:r>
          </w:p>
          <w:p w14:paraId="58350F67" w14:textId="3031659B" w:rsidR="00B0191A" w:rsidRPr="00384ADB" w:rsidRDefault="00D46F08">
            <w:pPr>
              <w:pStyle w:val="InstructionsText"/>
              <w:rPr>
                <w:rStyle w:val="InstructionsTabelleberschrift"/>
                <w:rFonts w:ascii="Times New Roman" w:hAnsi="Times New Roman"/>
                <w:sz w:val="24"/>
              </w:rPr>
            </w:pPr>
            <w:r>
              <w:t>Ja klients pieder pie vairākām savstarpēji saistītu klientu grupām, pārskatā to norāda kā visu savstarpēji saistīto klientu grupu locekli.</w:t>
            </w:r>
          </w:p>
        </w:tc>
      </w:tr>
      <w:tr w:rsidR="006E7C46" w:rsidRPr="00384ADB" w14:paraId="5BAB00AC" w14:textId="77777777" w:rsidTr="00975447">
        <w:tc>
          <w:tcPr>
            <w:tcW w:w="1418" w:type="dxa"/>
          </w:tcPr>
          <w:p w14:paraId="49DA3483" w14:textId="60F3165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r w:rsidR="00570CDB">
              <w:rPr>
                <w:rStyle w:val="FormatvorlageInstructionsTabelleText"/>
                <w:rFonts w:ascii="Times New Roman" w:hAnsi="Times New Roman"/>
                <w:b/>
                <w:sz w:val="24"/>
              </w:rPr>
              <w:t>.</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Darījumi, kuros ir riska darījums attiecībā uz pamatā esošajiem aktīviem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Skatīt veidnes LE2 sleju 030.</w:t>
            </w:r>
          </w:p>
        </w:tc>
      </w:tr>
      <w:tr w:rsidR="009F75EC" w:rsidRPr="00384ADB" w14:paraId="001F88BC" w14:textId="77777777" w:rsidTr="00975447">
        <w:tc>
          <w:tcPr>
            <w:tcW w:w="1418" w:type="dxa"/>
          </w:tcPr>
          <w:p w14:paraId="370CADB9" w14:textId="4E6260C8"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r w:rsidR="00570CDB">
              <w:rPr>
                <w:rStyle w:val="FormatvorlageInstructionsTabelleText"/>
                <w:rFonts w:ascii="Times New Roman" w:hAnsi="Times New Roman"/>
                <w:b/>
                <w:sz w:val="24"/>
              </w:rPr>
              <w:t>.</w:t>
            </w:r>
            <w:r>
              <w:rPr>
                <w:rStyle w:val="FormatvorlageInstructionsTabelleText"/>
                <w:rFonts w:ascii="Times New Roman" w:hAnsi="Times New Roman"/>
                <w:b/>
                <w:sz w:val="24"/>
              </w:rPr>
              <w:t>–360</w:t>
            </w:r>
            <w:r w:rsidR="00570CDB">
              <w:rPr>
                <w:rStyle w:val="FormatvorlageInstructionsTabelleText"/>
                <w:rFonts w:ascii="Times New Roman" w:hAnsi="Times New Roman"/>
                <w:b/>
                <w:sz w:val="24"/>
              </w:rPr>
              <w:t>.</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Ja finanšu instrumenti veidnē LE2 ir norādīti visai savstarpēji saistīto klientu grupai, tos iedala pa atsevišķiem darījuma partneriem veidnē LE3 atbilstīgi iestādes darījumu kritērijiem.</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Pārējās norādes ir tādas pašas kā attiecībā uz veidni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3D7C7" w14:textId="77777777" w:rsidR="008B3E63" w:rsidRDefault="008B3E63" w:rsidP="00D946DB">
      <w:pPr>
        <w:spacing w:before="0" w:after="0"/>
      </w:pPr>
      <w:r>
        <w:separator/>
      </w:r>
    </w:p>
  </w:endnote>
  <w:endnote w:type="continuationSeparator" w:id="0">
    <w:p w14:paraId="421349C6" w14:textId="77777777" w:rsidR="008B3E63" w:rsidRDefault="008B3E6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2</w:t>
    </w:r>
    <w:r w:rsidRPr="00A772B4">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rsidR="00FE293E">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18</w:t>
    </w:r>
    <w:r w:rsidRPr="00A772B4">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21232" w14:textId="77777777" w:rsidR="008B3E63" w:rsidRDefault="008B3E63" w:rsidP="00D946DB">
      <w:pPr>
        <w:spacing w:before="0" w:after="0"/>
      </w:pPr>
      <w:r>
        <w:separator/>
      </w:r>
    </w:p>
  </w:footnote>
  <w:footnote w:type="continuationSeparator" w:id="0">
    <w:p w14:paraId="79E53315" w14:textId="77777777" w:rsidR="008B3E63" w:rsidRDefault="008B3E6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55713742">
    <w:abstractNumId w:val="1"/>
  </w:num>
  <w:num w:numId="2" w16cid:durableId="339704849">
    <w:abstractNumId w:val="18"/>
  </w:num>
  <w:num w:numId="3" w16cid:durableId="251278249">
    <w:abstractNumId w:val="25"/>
  </w:num>
  <w:num w:numId="4" w16cid:durableId="1685201657">
    <w:abstractNumId w:val="13"/>
  </w:num>
  <w:num w:numId="5" w16cid:durableId="1012956690">
    <w:abstractNumId w:val="22"/>
  </w:num>
  <w:num w:numId="6" w16cid:durableId="1442920244">
    <w:abstractNumId w:val="12"/>
  </w:num>
  <w:num w:numId="7" w16cid:durableId="1367217291">
    <w:abstractNumId w:val="24"/>
  </w:num>
  <w:num w:numId="8" w16cid:durableId="1941833614">
    <w:abstractNumId w:val="4"/>
  </w:num>
  <w:num w:numId="9" w16cid:durableId="62336588">
    <w:abstractNumId w:val="19"/>
  </w:num>
  <w:num w:numId="10" w16cid:durableId="261569805">
    <w:abstractNumId w:val="11"/>
  </w:num>
  <w:num w:numId="11" w16cid:durableId="848106148">
    <w:abstractNumId w:val="15"/>
  </w:num>
  <w:num w:numId="12" w16cid:durableId="29041570">
    <w:abstractNumId w:val="6"/>
  </w:num>
  <w:num w:numId="13" w16cid:durableId="1097752603">
    <w:abstractNumId w:val="21"/>
  </w:num>
  <w:num w:numId="14" w16cid:durableId="1624195853">
    <w:abstractNumId w:val="17"/>
  </w:num>
  <w:num w:numId="15" w16cid:durableId="1322811339">
    <w:abstractNumId w:val="10"/>
  </w:num>
  <w:num w:numId="16" w16cid:durableId="461266202">
    <w:abstractNumId w:val="14"/>
  </w:num>
  <w:num w:numId="17" w16cid:durableId="1492521971">
    <w:abstractNumId w:val="9"/>
  </w:num>
  <w:num w:numId="18" w16cid:durableId="499665462">
    <w:abstractNumId w:val="23"/>
  </w:num>
  <w:num w:numId="19" w16cid:durableId="508564918">
    <w:abstractNumId w:val="2"/>
  </w:num>
  <w:num w:numId="20" w16cid:durableId="1260991969">
    <w:abstractNumId w:val="5"/>
  </w:num>
  <w:num w:numId="21" w16cid:durableId="1601376177">
    <w:abstractNumId w:val="8"/>
  </w:num>
  <w:num w:numId="22" w16cid:durableId="950864285">
    <w:abstractNumId w:val="7"/>
  </w:num>
  <w:num w:numId="23" w16cid:durableId="730007530">
    <w:abstractNumId w:val="10"/>
    <w:lvlOverride w:ilvl="0">
      <w:startOverride w:val="1"/>
    </w:lvlOverride>
  </w:num>
  <w:num w:numId="24" w16cid:durableId="167523680">
    <w:abstractNumId w:val="10"/>
    <w:lvlOverride w:ilvl="0">
      <w:startOverride w:val="1"/>
    </w:lvlOverride>
  </w:num>
  <w:num w:numId="25" w16cid:durableId="1389842684">
    <w:abstractNumId w:val="16"/>
  </w:num>
  <w:num w:numId="26" w16cid:durableId="76757931">
    <w:abstractNumId w:val="20"/>
  </w:num>
  <w:num w:numId="27" w16cid:durableId="93327649">
    <w:abstractNumId w:val="10"/>
    <w:lvlOverride w:ilvl="0">
      <w:startOverride w:val="1"/>
    </w:lvlOverride>
  </w:num>
  <w:num w:numId="28" w16cid:durableId="1364525544">
    <w:abstractNumId w:val="10"/>
  </w:num>
  <w:num w:numId="29" w16cid:durableId="136650777">
    <w:abstractNumId w:val="10"/>
  </w:num>
  <w:num w:numId="30" w16cid:durableId="511652746">
    <w:abstractNumId w:val="27"/>
  </w:num>
  <w:num w:numId="31" w16cid:durableId="1399134311">
    <w:abstractNumId w:val="26"/>
  </w:num>
  <w:num w:numId="32" w16cid:durableId="2072383346">
    <w:abstractNumId w:val="21"/>
  </w:num>
  <w:num w:numId="33" w16cid:durableId="1201936103">
    <w:abstractNumId w:val="28"/>
  </w:num>
  <w:num w:numId="34" w16cid:durableId="1312977522">
    <w:abstractNumId w:val="3"/>
  </w:num>
  <w:num w:numId="35" w16cid:durableId="1610890562">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27F4C"/>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3EF1"/>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0CDB"/>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153C"/>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3E63"/>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C7444"/>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5956"/>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1A1"/>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3B8"/>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v-LV"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v-LV"/>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v-LV"/>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v-LV"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v-LV"/>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2.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3.xml><?xml version="1.0" encoding="utf-8"?>
<ds:datastoreItem xmlns:ds="http://schemas.openxmlformats.org/officeDocument/2006/customXml" ds:itemID="{2CBECA15-8D33-4684-8235-5F810491C924}"/>
</file>

<file path=customXml/itemProps4.xml><?xml version="1.0" encoding="utf-8"?>
<ds:datastoreItem xmlns:ds="http://schemas.openxmlformats.org/officeDocument/2006/customXml" ds:itemID="{79B483EC-53D8-43F0-ABA5-C507217E381D}"/>
</file>

<file path=customXml/itemProps5.xml><?xml version="1.0" encoding="utf-8"?>
<ds:datastoreItem xmlns:ds="http://schemas.openxmlformats.org/officeDocument/2006/customXml" ds:itemID="{F11EE99A-2314-4C1E-9DDA-A19B1C35CFF7}"/>
</file>

<file path=docProps/app.xml><?xml version="1.0" encoding="utf-8"?>
<Properties xmlns="http://schemas.openxmlformats.org/officeDocument/2006/extended-properties" xmlns:vt="http://schemas.openxmlformats.org/officeDocument/2006/docPropsVTypes">
  <Template>Normal</Template>
  <TotalTime>6</TotalTime>
  <Pages>18</Pages>
  <Words>4652</Words>
  <Characters>28244</Characters>
  <Application>Microsoft Office Word</Application>
  <DocSecurity>0</DocSecurity>
  <Lines>656</Lines>
  <Paragraphs>406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32490</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REPELE Ilze (DGT)</cp:lastModifiedBy>
  <cp:revision>5</cp:revision>
  <dcterms:created xsi:type="dcterms:W3CDTF">2025-01-23T10:06:00Z</dcterms:created>
  <dcterms:modified xsi:type="dcterms:W3CDTF">2025-01-26T22:01:00Z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2025-01-23T10:06:44Z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5dbee175-b7a2-4e5b-bd74-af0db59acb51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